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overflowPunct/>
        <w:topLinePunct w:val="0"/>
        <w:autoSpaceDE w:val="0"/>
        <w:autoSpaceDN w:val="0"/>
        <w:bidi w:val="0"/>
        <w:adjustRightInd w:val="0"/>
        <w:snapToGrid w:val="0"/>
        <w:spacing w:before="214" w:line="560" w:lineRule="exact"/>
        <w:jc w:val="left"/>
        <w:textAlignment w:val="baseline"/>
        <w:rPr>
          <w:rFonts w:hint="eastAsia" w:ascii="黑体" w:hAnsi="黑体" w:eastAsia="黑体" w:cs="黑体"/>
          <w:snapToGrid w:val="0"/>
          <w:color w:val="000000"/>
          <w:spacing w:val="8"/>
          <w:kern w:val="0"/>
          <w:sz w:val="32"/>
          <w:szCs w:val="32"/>
          <w:lang w:eastAsia="zh-CN"/>
        </w:rPr>
      </w:pPr>
      <w:r>
        <w:rPr>
          <w:rFonts w:hint="eastAsia" w:ascii="黑体" w:hAnsi="黑体" w:eastAsia="黑体" w:cs="黑体"/>
          <w:snapToGrid w:val="0"/>
          <w:color w:val="000000"/>
          <w:spacing w:val="8"/>
          <w:kern w:val="0"/>
          <w:sz w:val="32"/>
          <w:szCs w:val="32"/>
          <w:lang w:eastAsia="zh-CN"/>
        </w:rPr>
        <w:t>附</w:t>
      </w:r>
      <w:r>
        <w:rPr>
          <w:rFonts w:hint="eastAsia" w:ascii="黑体" w:hAnsi="黑体" w:eastAsia="黑体" w:cs="黑体"/>
          <w:snapToGrid w:val="0"/>
          <w:color w:val="000000"/>
          <w:spacing w:val="8"/>
          <w:kern w:val="0"/>
          <w:sz w:val="32"/>
          <w:szCs w:val="32"/>
          <w:lang w:eastAsia="zh-CN"/>
        </w:rPr>
        <w:t>件</w:t>
      </w:r>
      <w:r>
        <w:rPr>
          <w:rFonts w:hint="eastAsia" w:ascii="黑体" w:hAnsi="黑体" w:eastAsia="黑体" w:cs="黑体"/>
          <w:snapToGrid w:val="0"/>
          <w:color w:val="000000"/>
          <w:spacing w:val="8"/>
          <w:kern w:val="0"/>
          <w:sz w:val="32"/>
          <w:szCs w:val="32"/>
          <w:lang w:eastAsia="zh-CN"/>
        </w:rPr>
        <w:t>2</w:t>
      </w:r>
    </w:p>
    <w:p>
      <w:pPr>
        <w:pStyle w:val="11"/>
        <w:spacing w:before="0" w:beforeAutospacing="0" w:after="0" w:afterAutospacing="0" w:line="560" w:lineRule="exact"/>
        <w:jc w:val="center"/>
        <w:rPr>
          <w:rFonts w:ascii="Times New Roman" w:hAnsi="Times New Roman" w:cs="Times New Roman"/>
          <w:b w:val="0"/>
          <w:bCs w:val="0"/>
          <w:color w:val="auto"/>
          <w:sz w:val="36"/>
          <w:szCs w:val="36"/>
          <w:lang w:eastAsia="zh-CN"/>
        </w:rPr>
      </w:pPr>
      <w:r>
        <w:rPr>
          <w:rFonts w:ascii="Times New Roman" w:hAnsi="Times New Roman" w:eastAsia="黑体" w:cs="Times New Roman"/>
          <w:b w:val="0"/>
          <w:bCs w:val="0"/>
          <w:spacing w:val="6"/>
          <w:sz w:val="36"/>
          <w:szCs w:val="36"/>
          <w:lang w:eastAsia="zh-CN"/>
        </w:rPr>
        <w:t>202</w:t>
      </w:r>
      <w:r>
        <w:rPr>
          <w:rFonts w:hint="eastAsia" w:ascii="Times New Roman" w:hAnsi="Times New Roman" w:eastAsia="黑体" w:cs="Times New Roman"/>
          <w:b w:val="0"/>
          <w:bCs w:val="0"/>
          <w:spacing w:val="6"/>
          <w:sz w:val="36"/>
          <w:szCs w:val="36"/>
          <w:lang w:val="en-US" w:eastAsia="zh-CN"/>
        </w:rPr>
        <w:t>4</w:t>
      </w:r>
      <w:r>
        <w:rPr>
          <w:rFonts w:ascii="Times New Roman" w:hAnsi="Times New Roman" w:eastAsia="黑体" w:cs="Times New Roman"/>
          <w:b w:val="0"/>
          <w:bCs w:val="0"/>
          <w:spacing w:val="6"/>
          <w:sz w:val="36"/>
          <w:szCs w:val="36"/>
          <w:lang w:eastAsia="zh-CN"/>
        </w:rPr>
        <w:t>年东南大学大学生网络文化节作品创作选题指南</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1.学习宣传习近平新时代中国特色社会主义思想，深刻领悟</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两个确立</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的决定性意义，增强</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四个意识</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、坚定</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四个自信</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、做到</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两个维护</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，对</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十个明确</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十四个坚持</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十三个方面成就</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蕴含的重大思想观点进行宣传介绍，坚持学思用贯通、知信行统一，做到以学铸魂、以学增智、以学正风、以学促干。</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2.学习宣传党的二十大精神</w:t>
      </w:r>
      <w:r>
        <w:rPr>
          <w:rFonts w:hint="eastAsia" w:ascii="Times New Roman" w:hAnsi="Times New Roman" w:eastAsia="仿宋" w:cs="Times New Roman"/>
          <w:snapToGrid/>
          <w:sz w:val="32"/>
          <w:szCs w:val="32"/>
          <w:lang w:val="en-US" w:eastAsia="zh-CN"/>
        </w:rPr>
        <w:t>和</w:t>
      </w:r>
      <w:r>
        <w:rPr>
          <w:rFonts w:hint="eastAsia" w:ascii="Times New Roman" w:hAnsi="Times New Roman" w:eastAsia="仿宋" w:cs="Times New Roman"/>
          <w:snapToGrid/>
          <w:sz w:val="32"/>
          <w:szCs w:val="32"/>
          <w:highlight w:val="none"/>
          <w:lang w:val="en-US" w:eastAsia="zh-CN"/>
        </w:rPr>
        <w:t>二十届二中全会精神</w:t>
      </w:r>
      <w:r>
        <w:rPr>
          <w:rFonts w:ascii="Times New Roman" w:hAnsi="Times New Roman" w:eastAsia="仿宋" w:cs="Times New Roman"/>
          <w:snapToGrid/>
          <w:sz w:val="32"/>
          <w:szCs w:val="32"/>
          <w:highlight w:val="none"/>
          <w:lang w:eastAsia="zh-CN"/>
        </w:rPr>
        <w:t>，</w:t>
      </w:r>
      <w:r>
        <w:rPr>
          <w:rFonts w:ascii="Times New Roman" w:hAnsi="Times New Roman" w:eastAsia="仿宋" w:cs="Times New Roman"/>
          <w:snapToGrid/>
          <w:sz w:val="32"/>
          <w:szCs w:val="32"/>
          <w:lang w:eastAsia="zh-CN"/>
        </w:rPr>
        <w:t>全面准确深入宣传党的二十大报告确立的重大理论观点和重大战略思想，围绕</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七个讲清楚</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，聚焦贯彻新发展理念、构建新发展格局、推动高质量发展等内容，引导青年学生为全面建设社会主义现代化国家、全面推进中华民族伟大复兴而团结奋斗。</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kern w:val="2"/>
          <w:sz w:val="32"/>
          <w:szCs w:val="32"/>
          <w:lang w:eastAsia="zh-CN"/>
        </w:rPr>
        <w:t>3.</w:t>
      </w:r>
      <w:r>
        <w:rPr>
          <w:rFonts w:ascii="Times New Roman" w:hAnsi="Times New Roman" w:eastAsia="仿宋" w:cs="Times New Roman"/>
          <w:snapToGrid/>
          <w:sz w:val="32"/>
          <w:szCs w:val="32"/>
          <w:lang w:eastAsia="zh-CN"/>
        </w:rPr>
        <w:t>学习宣传习近平总书记重要讲话精神，结合习近平总书记工作过的重要地方、党的十八大以来习近平总书记国内考察的重要足迹，在寻访实践中重温习近平总书记有关重要论述的精神要义。</w:t>
      </w:r>
    </w:p>
    <w:p>
      <w:pPr>
        <w:widowControl w:val="0"/>
        <w:kinsoku/>
        <w:wordWrap w:val="0"/>
        <w:autoSpaceDE/>
        <w:autoSpaceDN/>
        <w:adjustRightInd/>
        <w:snapToGrid/>
        <w:spacing w:line="600" w:lineRule="exact"/>
        <w:ind w:firstLine="64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4.</w:t>
      </w:r>
      <w:r>
        <w:rPr>
          <w:rFonts w:ascii="Times New Roman" w:hAnsi="Times New Roman" w:eastAsia="仿宋" w:cs="Times New Roman"/>
          <w:snapToGrid/>
          <w:sz w:val="32"/>
          <w:szCs w:val="32"/>
          <w:highlight w:val="none"/>
          <w:lang w:eastAsia="zh-CN"/>
        </w:rPr>
        <w:t>学习宣传习近平总书记关于</w:t>
      </w:r>
      <w:r>
        <w:rPr>
          <w:rFonts w:hint="eastAsia" w:ascii="Times New Roman" w:hAnsi="Times New Roman" w:eastAsia="仿宋" w:cs="Times New Roman"/>
          <w:snapToGrid/>
          <w:sz w:val="32"/>
          <w:szCs w:val="32"/>
          <w:highlight w:val="none"/>
          <w:lang w:val="en-US" w:eastAsia="zh-CN"/>
        </w:rPr>
        <w:t>青年工作的重要思想和</w:t>
      </w:r>
      <w:r>
        <w:rPr>
          <w:rFonts w:hint="eastAsia" w:ascii="Times New Roman" w:hAnsi="Times New Roman" w:eastAsia="仿宋" w:cs="Times New Roman"/>
          <w:snapToGrid/>
          <w:sz w:val="32"/>
          <w:szCs w:val="32"/>
          <w:lang w:val="en-US" w:eastAsia="zh-CN"/>
        </w:rPr>
        <w:t>关于</w:t>
      </w:r>
      <w:r>
        <w:rPr>
          <w:rFonts w:ascii="Times New Roman" w:hAnsi="Times New Roman" w:eastAsia="仿宋" w:cs="Times New Roman"/>
          <w:snapToGrid/>
          <w:sz w:val="32"/>
          <w:szCs w:val="32"/>
          <w:lang w:eastAsia="zh-CN"/>
        </w:rPr>
        <w:t>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5.学习宣传习近平总书记关于爱国主义教育的重要论述，表达青年学生的爱国之情、强国之志、报国之行。</w:t>
      </w:r>
    </w:p>
    <w:p>
      <w:pPr>
        <w:widowControl w:val="0"/>
        <w:kinsoku/>
        <w:wordWrap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6.学习宣传习近平总书记关于网络强国的重要思想，引导青年学生正确认识互联网、深入学习互联网、积极运用互联网，切实提升在网上明辨是非、鉴别真伪、分清善恶、判定美丑、维护安全的能力。</w:t>
      </w:r>
    </w:p>
    <w:p>
      <w:pPr>
        <w:widowControl w:val="0"/>
        <w:kinsoku/>
        <w:wordWrap w:val="0"/>
        <w:autoSpaceDE/>
        <w:autoSpaceDN/>
        <w:snapToGrid/>
        <w:spacing w:line="600" w:lineRule="exact"/>
        <w:ind w:firstLine="640" w:firstLineChars="200"/>
        <w:jc w:val="both"/>
        <w:textAlignment w:val="auto"/>
        <w:rPr>
          <w:rFonts w:ascii="Times New Roman" w:hAnsi="Times New Roman" w:eastAsia="仿宋" w:cs="Times New Roman"/>
          <w:snapToGrid/>
          <w:color w:val="auto"/>
          <w:sz w:val="32"/>
          <w:szCs w:val="32"/>
          <w:lang w:eastAsia="zh-CN"/>
        </w:rPr>
      </w:pPr>
      <w:r>
        <w:rPr>
          <w:rFonts w:ascii="Times New Roman" w:hAnsi="Times New Roman" w:eastAsia="仿宋" w:cs="Times New Roman"/>
          <w:snapToGrid/>
          <w:sz w:val="32"/>
          <w:szCs w:val="32"/>
          <w:lang w:eastAsia="zh-CN"/>
        </w:rPr>
        <w:t>7.学习宣传习近平法治思想，弘扬社会主义法治理念、法治精神，培育社会主义法治文化，</w:t>
      </w:r>
      <w:r>
        <w:rPr>
          <w:rFonts w:ascii="Times New Roman" w:hAnsi="Times New Roman" w:eastAsia="仿宋" w:cs="Times New Roman"/>
          <w:snapToGrid/>
          <w:color w:val="auto"/>
          <w:sz w:val="32"/>
          <w:szCs w:val="32"/>
          <w:lang w:eastAsia="zh-CN"/>
        </w:rPr>
        <w:t>不断提升法治意识和法治素养，自觉尊法学法守法用法。</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highlight w:val="none"/>
          <w:lang w:eastAsia="zh-CN"/>
        </w:rPr>
        <w:t>8.</w:t>
      </w:r>
      <w:r>
        <w:rPr>
          <w:rFonts w:hint="eastAsia" w:ascii="Times New Roman" w:hAnsi="Times New Roman" w:eastAsia="仿宋" w:cs="Times New Roman"/>
          <w:snapToGrid/>
          <w:sz w:val="32"/>
          <w:szCs w:val="32"/>
          <w:highlight w:val="none"/>
          <w:lang w:val="en-US" w:eastAsia="zh-CN"/>
        </w:rPr>
        <w:t>学习宣传习近平文化思想，牢牢把握“七个着力”重要要求，切实提升宣传思想文化工作质效，</w:t>
      </w:r>
      <w:r>
        <w:rPr>
          <w:rFonts w:ascii="Times New Roman" w:hAnsi="Times New Roman" w:eastAsia="仿宋" w:cs="Times New Roman"/>
          <w:snapToGrid/>
          <w:sz w:val="32"/>
          <w:szCs w:val="32"/>
          <w:highlight w:val="none"/>
          <w:lang w:eastAsia="zh-CN"/>
        </w:rPr>
        <w:t>实施</w:t>
      </w:r>
      <w:r>
        <w:rPr>
          <w:rFonts w:ascii="Times New Roman" w:hAnsi="Times New Roman" w:eastAsia="仿宋" w:cs="Times New Roman"/>
          <w:snapToGrid/>
          <w:sz w:val="32"/>
          <w:szCs w:val="32"/>
          <w:lang w:eastAsia="zh-CN"/>
        </w:rPr>
        <w:t>校园文化提能增效，强化以文化人以文育人，</w:t>
      </w:r>
      <w:bookmarkStart w:id="0" w:name="_GoBack"/>
      <w:bookmarkEnd w:id="0"/>
      <w:r>
        <w:rPr>
          <w:rFonts w:ascii="Times New Roman" w:hAnsi="Times New Roman" w:eastAsia="仿宋" w:cs="Times New Roman"/>
          <w:snapToGrid/>
          <w:sz w:val="32"/>
          <w:szCs w:val="32"/>
          <w:lang w:eastAsia="zh-CN"/>
        </w:rPr>
        <w:t>展示健康向上、格调高雅的校园文化活动。</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9.深入开展</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四史</w:t>
      </w:r>
      <w:r>
        <w:rPr>
          <w:rFonts w:hint="eastAsia" w:ascii="Times New Roman" w:hAnsi="Times New Roman" w:eastAsia="仿宋" w:cs="Times New Roman"/>
          <w:snapToGrid/>
          <w:sz w:val="32"/>
          <w:szCs w:val="32"/>
          <w:lang w:eastAsia="zh-CN"/>
        </w:rPr>
        <w:t>”</w:t>
      </w:r>
      <w:r>
        <w:rPr>
          <w:rFonts w:ascii="Times New Roman" w:hAnsi="Times New Roman" w:eastAsia="仿宋" w:cs="Times New Roman"/>
          <w:snapToGrid/>
          <w:sz w:val="32"/>
          <w:szCs w:val="32"/>
          <w:lang w:eastAsia="zh-CN"/>
        </w:rPr>
        <w:t>宣传教育，有效提升政治认同、思想认同、情感认同，切实做到学史明理、学史增信、学史崇德、学史力行。</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color w:val="auto"/>
          <w:kern w:val="2"/>
          <w:sz w:val="32"/>
          <w:szCs w:val="32"/>
          <w:lang w:eastAsia="zh-CN"/>
        </w:rPr>
      </w:pPr>
      <w:r>
        <w:rPr>
          <w:rFonts w:ascii="Times New Roman" w:hAnsi="Times New Roman" w:eastAsia="仿宋" w:cs="Times New Roman"/>
          <w:snapToGrid/>
          <w:sz w:val="32"/>
          <w:szCs w:val="32"/>
          <w:lang w:eastAsia="zh-CN"/>
        </w:rPr>
        <w:t>10.学习宣传中国共产党人的精神谱系，弘扬伟大建党精神，用好红色资源，发扬红色传统，传承红色基因，赓续共产党人精神血脉。</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11.学习弘扬中华优秀传统文化、革命文化、社会主义先进文化，践行社会主义核心价值观。</w:t>
      </w:r>
      <w:r>
        <w:rPr>
          <w:rFonts w:ascii="Times New Roman" w:hAnsi="Times New Roman" w:eastAsia="仿宋" w:cs="Times New Roman"/>
          <w:snapToGrid/>
          <w:kern w:val="2"/>
          <w:sz w:val="32"/>
          <w:szCs w:val="32"/>
          <w:lang w:eastAsia="zh-CN"/>
        </w:rPr>
        <w:t>开展非物质文化遗产、中华</w:t>
      </w:r>
      <w:r>
        <w:rPr>
          <w:rFonts w:hint="eastAsia" w:ascii="Times New Roman" w:hAnsi="Times New Roman" w:eastAsia="仿宋" w:cs="Times New Roman"/>
          <w:snapToGrid/>
          <w:kern w:val="2"/>
          <w:sz w:val="32"/>
          <w:szCs w:val="32"/>
          <w:lang w:eastAsia="zh-CN"/>
        </w:rPr>
        <w:t>“</w:t>
      </w:r>
      <w:r>
        <w:rPr>
          <w:rFonts w:ascii="Times New Roman" w:hAnsi="Times New Roman" w:eastAsia="仿宋" w:cs="Times New Roman"/>
          <w:snapToGrid/>
          <w:kern w:val="2"/>
          <w:sz w:val="32"/>
          <w:szCs w:val="32"/>
          <w:lang w:eastAsia="zh-CN"/>
        </w:rPr>
        <w:t>老字号</w:t>
      </w:r>
      <w:r>
        <w:rPr>
          <w:rFonts w:hint="eastAsia" w:ascii="Times New Roman" w:hAnsi="Times New Roman" w:eastAsia="仿宋" w:cs="Times New Roman"/>
          <w:snapToGrid/>
          <w:kern w:val="2"/>
          <w:sz w:val="32"/>
          <w:szCs w:val="32"/>
          <w:lang w:eastAsia="zh-CN"/>
        </w:rPr>
        <w:t>”</w:t>
      </w:r>
      <w:r>
        <w:rPr>
          <w:rFonts w:ascii="Times New Roman" w:hAnsi="Times New Roman" w:eastAsia="仿宋" w:cs="Times New Roman"/>
          <w:snapToGrid/>
          <w:kern w:val="2"/>
          <w:sz w:val="32"/>
          <w:szCs w:val="32"/>
          <w:lang w:eastAsia="zh-CN"/>
        </w:rPr>
        <w:t>品牌宣传推广。</w:t>
      </w:r>
    </w:p>
    <w:p>
      <w:pPr>
        <w:widowControl w:val="0"/>
        <w:kinsoku/>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12.树牢总体国家安全观，</w:t>
      </w:r>
      <w:r>
        <w:rPr>
          <w:rFonts w:ascii="Times New Roman" w:hAnsi="Times New Roman" w:eastAsia="仿宋" w:cs="Times New Roman"/>
          <w:snapToGrid/>
          <w:sz w:val="32"/>
          <w:szCs w:val="32"/>
          <w:lang w:eastAsia="zh-Hans"/>
        </w:rPr>
        <w:t>从政治安全、</w:t>
      </w:r>
      <w:r>
        <w:rPr>
          <w:rFonts w:ascii="Times New Roman" w:hAnsi="Times New Roman" w:eastAsia="仿宋" w:cs="Times New Roman"/>
          <w:snapToGrid/>
          <w:sz w:val="32"/>
          <w:szCs w:val="32"/>
          <w:lang w:eastAsia="zh-CN"/>
        </w:rPr>
        <w:t>社会安全、</w:t>
      </w:r>
      <w:r>
        <w:rPr>
          <w:rFonts w:ascii="Times New Roman" w:hAnsi="Times New Roman" w:eastAsia="仿宋" w:cs="Times New Roman"/>
          <w:snapToGrid/>
          <w:sz w:val="32"/>
          <w:szCs w:val="32"/>
          <w:lang w:eastAsia="zh-Hans"/>
        </w:rPr>
        <w:t>网络安全、科技安全、生态安全、生物安全</w:t>
      </w:r>
      <w:r>
        <w:rPr>
          <w:rFonts w:ascii="Times New Roman" w:hAnsi="Times New Roman" w:eastAsia="仿宋" w:cs="Times New Roman"/>
          <w:snapToGrid/>
          <w:sz w:val="32"/>
          <w:szCs w:val="32"/>
          <w:lang w:eastAsia="zh-CN"/>
        </w:rPr>
        <w:t>及反</w:t>
      </w:r>
      <w:r>
        <w:rPr>
          <w:rFonts w:hint="eastAsia" w:ascii="Times New Roman" w:hAnsi="Times New Roman" w:eastAsia="仿宋" w:cs="Times New Roman"/>
          <w:snapToGrid/>
          <w:sz w:val="32"/>
          <w:szCs w:val="32"/>
          <w:lang w:eastAsia="zh-CN"/>
        </w:rPr>
        <w:t>间</w:t>
      </w:r>
      <w:r>
        <w:rPr>
          <w:rFonts w:ascii="Times New Roman" w:hAnsi="Times New Roman" w:eastAsia="仿宋" w:cs="Times New Roman"/>
          <w:snapToGrid/>
          <w:sz w:val="32"/>
          <w:szCs w:val="32"/>
          <w:lang w:eastAsia="zh-CN"/>
        </w:rPr>
        <w:t>防谍、反恐防恐、反邪教</w:t>
      </w:r>
      <w:r>
        <w:rPr>
          <w:rFonts w:ascii="Times New Roman" w:hAnsi="Times New Roman" w:eastAsia="仿宋" w:cs="Times New Roman"/>
          <w:snapToGrid/>
          <w:sz w:val="32"/>
          <w:szCs w:val="32"/>
          <w:lang w:eastAsia="zh-Hans"/>
        </w:rPr>
        <w:t>等方面阐释</w:t>
      </w:r>
      <w:r>
        <w:rPr>
          <w:rFonts w:ascii="Times New Roman" w:hAnsi="Times New Roman" w:eastAsia="仿宋" w:cs="Times New Roman"/>
          <w:snapToGrid/>
          <w:sz w:val="32"/>
          <w:szCs w:val="32"/>
          <w:lang w:eastAsia="zh-CN"/>
        </w:rPr>
        <w:t>国家安全教育的重要性，自觉维护国家安全。</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color w:val="auto"/>
          <w:kern w:val="2"/>
          <w:sz w:val="32"/>
          <w:szCs w:val="32"/>
          <w:lang w:eastAsia="zh-CN"/>
        </w:rPr>
      </w:pPr>
      <w:r>
        <w:rPr>
          <w:rFonts w:ascii="Times New Roman" w:hAnsi="Times New Roman" w:eastAsia="仿宋" w:cs="Times New Roman"/>
          <w:snapToGrid/>
          <w:sz w:val="32"/>
          <w:szCs w:val="32"/>
          <w:lang w:eastAsia="zh-CN"/>
        </w:rPr>
        <w:t>13.倡导文明理性健康上网，提升网络素养，</w:t>
      </w:r>
      <w:r>
        <w:rPr>
          <w:rFonts w:ascii="Times New Roman" w:hAnsi="Times New Roman" w:eastAsia="仿宋" w:cs="Times New Roman"/>
          <w:snapToGrid/>
          <w:color w:val="auto"/>
          <w:sz w:val="32"/>
          <w:szCs w:val="32"/>
          <w:lang w:eastAsia="zh-CN"/>
        </w:rPr>
        <w:t>积极参与网络文明建设，</w:t>
      </w:r>
      <w:r>
        <w:rPr>
          <w:rFonts w:ascii="Times New Roman" w:hAnsi="Times New Roman" w:eastAsia="仿宋" w:cs="Times New Roman"/>
          <w:snapToGrid/>
          <w:sz w:val="32"/>
          <w:szCs w:val="32"/>
          <w:lang w:eastAsia="zh-CN"/>
        </w:rPr>
        <w:t>争做校园好网民，营造清朗网络空间，</w:t>
      </w:r>
      <w:r>
        <w:rPr>
          <w:rFonts w:ascii="Times New Roman" w:hAnsi="Times New Roman" w:eastAsia="仿宋" w:cs="Times New Roman"/>
          <w:snapToGrid/>
          <w:color w:val="auto"/>
          <w:kern w:val="2"/>
          <w:sz w:val="32"/>
          <w:szCs w:val="32"/>
          <w:lang w:eastAsia="zh-CN"/>
        </w:rPr>
        <w:t>共建美好网上精神家园。</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14.体现青年学生敢为人先、敢于突破的创新精神，实学实干、孜孜不倦、追求卓越的奋斗品质，立大志、明大德、成大才、担大任、努力成为堪当民族复兴大任的时代新人的抱负决心。</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 w:cs="Times New Roman"/>
          <w:snapToGrid/>
          <w:sz w:val="32"/>
          <w:szCs w:val="32"/>
          <w:lang w:eastAsia="zh-CN"/>
        </w:rPr>
        <w:t>。</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kern w:val="2"/>
          <w:sz w:val="32"/>
          <w:szCs w:val="32"/>
          <w:lang w:eastAsia="zh-CN"/>
        </w:rPr>
      </w:pPr>
      <w:r>
        <w:rPr>
          <w:rFonts w:ascii="Times New Roman" w:hAnsi="Times New Roman" w:eastAsia="仿宋" w:cs="Times New Roman"/>
          <w:snapToGrid/>
          <w:kern w:val="2"/>
          <w:sz w:val="32"/>
          <w:szCs w:val="32"/>
          <w:lang w:eastAsia="zh-CN"/>
        </w:rPr>
        <w:t>16.学习弘扬科学家精神，围绕“爱国、创新、求实、奉献、协同、育人”内涵，营造崇尚科学、尊重科学的氛围。</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17.倡导新时代爱国卫生运动，普及心理健康知识，培育理性平和、积极向上的健康心态。</w:t>
      </w:r>
    </w:p>
    <w:p>
      <w:pPr>
        <w:widowControl w:val="0"/>
        <w:kinsoku/>
        <w:overflowPunct w:val="0"/>
        <w:autoSpaceDE/>
        <w:autoSpaceDN/>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18.提升新时代大学生</w:t>
      </w:r>
      <w:r>
        <w:rPr>
          <w:rFonts w:ascii="Times New Roman" w:hAnsi="Times New Roman" w:eastAsia="仿宋" w:cs="Times New Roman"/>
          <w:snapToGrid/>
          <w:kern w:val="2"/>
          <w:sz w:val="32"/>
          <w:szCs w:val="32"/>
          <w:lang w:eastAsia="zh-CN"/>
        </w:rPr>
        <w:t>诚信意识，围绕学习学术、助学贷款、就业求职等方面的问题开展诚信教育，营造诚实守信良好氛围。</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19.铸牢中华民族共同体意识，增强听党话、感党恩、跟党走的政治自觉、思想自觉和行动自觉，厚植对中华民族的认同感，构建中华民族共有精神家园。</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20.建设和谐、美丽、平安校园，实施“一站式”学生社区综合治理创新，净化校园及周边治安综合治理环境，提升广大师生安全感、获得感、幸福感。</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21.防范电信网络诈骗，提高反诈防骗能力，提升师生自我防护和遵纪守法意识。</w:t>
      </w:r>
    </w:p>
    <w:p>
      <w:pPr>
        <w:widowControl w:val="0"/>
        <w:kinsoku/>
        <w:wordWrap w:val="0"/>
        <w:autoSpaceDE/>
        <w:autoSpaceDN/>
        <w:adjustRightInd/>
        <w:snapToGrid/>
        <w:spacing w:line="600" w:lineRule="exact"/>
        <w:ind w:firstLine="640" w:firstLineChars="200"/>
        <w:jc w:val="both"/>
        <w:textAlignment w:val="auto"/>
        <w:rPr>
          <w:rFonts w:ascii="Times New Roman" w:hAnsi="Times New Roman" w:eastAsia="仿宋" w:cs="Times New Roman"/>
          <w:snapToGrid/>
          <w:sz w:val="32"/>
          <w:szCs w:val="32"/>
          <w:lang w:eastAsia="zh-CN"/>
        </w:rPr>
      </w:pPr>
      <w:r>
        <w:rPr>
          <w:rFonts w:ascii="Times New Roman" w:hAnsi="Times New Roman" w:eastAsia="仿宋" w:cs="Times New Roman"/>
          <w:snapToGrid/>
          <w:sz w:val="32"/>
          <w:szCs w:val="32"/>
          <w:lang w:eastAsia="zh-CN"/>
        </w:rPr>
        <w:t>22.积极开展绿色环保、</w:t>
      </w:r>
      <w:r>
        <w:rPr>
          <w:rFonts w:ascii="Times New Roman" w:hAnsi="Times New Roman" w:eastAsia="仿宋" w:cs="Times New Roman"/>
          <w:snapToGrid/>
          <w:sz w:val="32"/>
          <w:szCs w:val="32"/>
          <w:shd w:val="clear" w:color="auto" w:fill="FFFFFF"/>
          <w:lang w:eastAsia="zh-CN"/>
        </w:rPr>
        <w:t>书香阅读、</w:t>
      </w:r>
      <w:r>
        <w:rPr>
          <w:rFonts w:ascii="Times New Roman" w:hAnsi="Times New Roman" w:eastAsia="仿宋" w:cs="Times New Roman"/>
          <w:snapToGrid/>
          <w:sz w:val="32"/>
          <w:szCs w:val="32"/>
          <w:lang w:eastAsia="zh-CN"/>
        </w:rPr>
        <w:t>厉行</w:t>
      </w:r>
      <w:r>
        <w:rPr>
          <w:rFonts w:ascii="Times New Roman" w:hAnsi="Times New Roman" w:eastAsia="仿宋" w:cs="Times New Roman"/>
          <w:snapToGrid/>
          <w:sz w:val="32"/>
          <w:szCs w:val="32"/>
          <w:shd w:val="clear" w:color="auto" w:fill="FFFFFF"/>
          <w:lang w:eastAsia="zh-CN"/>
        </w:rPr>
        <w:t>节约</w:t>
      </w:r>
      <w:r>
        <w:rPr>
          <w:rFonts w:ascii="Times New Roman" w:hAnsi="Times New Roman" w:eastAsia="仿宋" w:cs="Times New Roman"/>
          <w:snapToGrid/>
          <w:sz w:val="32"/>
          <w:szCs w:val="32"/>
          <w:lang w:eastAsia="zh-CN"/>
        </w:rPr>
        <w:t>、禁毒防艾、打黄打黑等公益宣传。</w:t>
      </w:r>
    </w:p>
    <w:p>
      <w:pPr>
        <w:widowControl w:val="0"/>
        <w:kinsoku/>
        <w:wordWrap w:val="0"/>
        <w:autoSpaceDE/>
        <w:autoSpaceDN/>
        <w:adjustRightInd/>
        <w:snapToGrid/>
        <w:spacing w:line="600" w:lineRule="exact"/>
        <w:ind w:firstLine="281" w:firstLineChars="100"/>
        <w:jc w:val="both"/>
        <w:textAlignment w:val="auto"/>
        <w:rPr>
          <w:rFonts w:ascii="Times New Roman" w:hAnsi="Times New Roman" w:eastAsia="仿宋" w:cs="Times New Roman"/>
          <w:snapToGrid/>
          <w:sz w:val="28"/>
          <w:szCs w:val="28"/>
          <w:lang w:eastAsia="zh-CN"/>
        </w:rPr>
      </w:pPr>
      <w:r>
        <w:rPr>
          <w:rFonts w:ascii="Times New Roman" w:hAnsi="Times New Roman" w:eastAsia="仿宋" w:cs="Times New Roman"/>
          <w:b/>
          <w:bCs/>
          <w:sz w:val="28"/>
          <w:szCs w:val="28"/>
          <w:lang w:eastAsia="zh-CN"/>
        </w:rPr>
        <w:t>（供创作参考，不限于以上主题）</w:t>
      </w:r>
    </w:p>
    <w:p>
      <w:pPr>
        <w:rPr>
          <w:rFonts w:ascii="Times New Roman" w:hAnsi="Times New Roman" w:eastAsia="仿宋_GB2312" w:cs="Times New Roman"/>
          <w:b/>
          <w:bCs/>
          <w:sz w:val="28"/>
          <w:szCs w:val="28"/>
          <w:lang w:eastAsia="zh-CN"/>
        </w:rPr>
        <w:sectPr>
          <w:footerReference r:id="rId3" w:type="default"/>
          <w:pgSz w:w="11900" w:h="16840"/>
          <w:pgMar w:top="1431" w:right="1717" w:bottom="1114" w:left="1785" w:header="0" w:footer="852" w:gutter="0"/>
          <w:pgNumType w:fmt="numberInDash"/>
          <w:cols w:space="720" w:num="1"/>
        </w:sectPr>
      </w:pPr>
      <w:r>
        <w:rPr>
          <w:rFonts w:ascii="Times New Roman" w:hAnsi="Times New Roman" w:eastAsia="仿宋_GB2312" w:cs="Times New Roman"/>
          <w:b/>
          <w:bCs/>
          <w:sz w:val="28"/>
          <w:szCs w:val="28"/>
          <w:lang w:eastAsia="zh-CN"/>
        </w:rPr>
        <w:br w:type="page"/>
      </w:r>
    </w:p>
    <w:p>
      <w:pPr>
        <w:spacing w:before="183" w:line="231" w:lineRule="auto"/>
        <w:rPr>
          <w:rFonts w:ascii="Times New Roman" w:hAnsi="Times New Roman" w:eastAsia="宋体" w:cs="Times New Roman"/>
          <w:sz w:val="24"/>
          <w:szCs w:val="24"/>
          <w:lang w:eastAsia="zh-CN"/>
        </w:rPr>
      </w:pPr>
    </w:p>
    <w:sectPr>
      <w:footerReference r:id="rId4" w:type="default"/>
      <w:pgSz w:w="11900" w:h="16840"/>
      <w:pgMar w:top="1431" w:right="1469" w:bottom="1114" w:left="1470" w:header="0" w:footer="85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50AA06-978A-4282-9B84-C160DCAAA7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B5FF8363-B28B-4C67-B017-350DE605D8C4}"/>
  </w:font>
  <w:font w:name="仿宋_GB2312">
    <w:altName w:val="仿宋"/>
    <w:panose1 w:val="00000000000000000000"/>
    <w:charset w:val="86"/>
    <w:family w:val="modern"/>
    <w:pitch w:val="default"/>
    <w:sig w:usb0="00000000" w:usb1="00000000" w:usb2="00000000" w:usb3="00000000" w:csb0="00040000" w:csb1="00000000"/>
    <w:embedRegular r:id="rId3" w:fontKey="{B314686F-0B19-4564-9127-52159F617F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797"/>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iMGZlNzIzM2U0NzE5ODhmMTVhZWU1NmI0YTY5ZDEifQ=="/>
  </w:docVars>
  <w:rsids>
    <w:rsidRoot w:val="00FC3031"/>
    <w:rsid w:val="000809DC"/>
    <w:rsid w:val="00265720"/>
    <w:rsid w:val="002E67C3"/>
    <w:rsid w:val="00317149"/>
    <w:rsid w:val="003B3E66"/>
    <w:rsid w:val="003D472C"/>
    <w:rsid w:val="0040376E"/>
    <w:rsid w:val="006F2753"/>
    <w:rsid w:val="00754CE9"/>
    <w:rsid w:val="00803C3F"/>
    <w:rsid w:val="008669E9"/>
    <w:rsid w:val="0091730B"/>
    <w:rsid w:val="009B0336"/>
    <w:rsid w:val="00D4426D"/>
    <w:rsid w:val="00DF645F"/>
    <w:rsid w:val="00FC3031"/>
    <w:rsid w:val="08541E3C"/>
    <w:rsid w:val="0E3A5103"/>
    <w:rsid w:val="0FD85A54"/>
    <w:rsid w:val="15325409"/>
    <w:rsid w:val="19C37774"/>
    <w:rsid w:val="1D802387"/>
    <w:rsid w:val="1D9F120E"/>
    <w:rsid w:val="1FAB2E33"/>
    <w:rsid w:val="2AC93C23"/>
    <w:rsid w:val="2BC00A17"/>
    <w:rsid w:val="341B7E92"/>
    <w:rsid w:val="36FC7CC4"/>
    <w:rsid w:val="3D3C143D"/>
    <w:rsid w:val="40006426"/>
    <w:rsid w:val="412E3412"/>
    <w:rsid w:val="44246EDE"/>
    <w:rsid w:val="456F3069"/>
    <w:rsid w:val="45833892"/>
    <w:rsid w:val="45861298"/>
    <w:rsid w:val="4BBB60B9"/>
    <w:rsid w:val="4F4B53EA"/>
    <w:rsid w:val="51036A22"/>
    <w:rsid w:val="54F641E3"/>
    <w:rsid w:val="64D86856"/>
    <w:rsid w:val="671E1EBF"/>
    <w:rsid w:val="685359CE"/>
    <w:rsid w:val="6F705AB6"/>
    <w:rsid w:val="759B09AE"/>
    <w:rsid w:val="77860258"/>
    <w:rsid w:val="78E372B4"/>
    <w:rsid w:val="7A260E47"/>
    <w:rsid w:val="7AE4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 w:hAnsi="仿宋" w:eastAsia="仿宋" w:cs="仿宋"/>
      <w:sz w:val="31"/>
      <w:szCs w:val="31"/>
    </w:r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autoRedefine/>
    <w:qFormat/>
    <w:uiPriority w:val="0"/>
    <w:pPr>
      <w:spacing w:beforeAutospacing="1" w:afterAutospacing="1"/>
    </w:pPr>
    <w:rPr>
      <w:rFonts w:cs="Times New Roman"/>
      <w:sz w:val="24"/>
      <w:lang w:eastAsia="zh-CN"/>
    </w:rPr>
  </w:style>
  <w:style w:type="paragraph" w:styleId="7">
    <w:name w:val="Body Text First Indent 2"/>
    <w:basedOn w:val="3"/>
    <w:autoRedefine/>
    <w:qFormat/>
    <w:uiPriority w:val="0"/>
    <w:pPr>
      <w:spacing w:after="0"/>
      <w:ind w:left="0" w:leftChars="0" w:firstLine="420" w:firstLineChars="200"/>
    </w:pPr>
    <w:rPr>
      <w:rFonts w:eastAsia="仿宋_GB2312"/>
      <w:sz w:val="32"/>
    </w:rPr>
  </w:style>
  <w:style w:type="character" w:styleId="10">
    <w:name w:val="Hyperlink"/>
    <w:basedOn w:val="9"/>
    <w:autoRedefine/>
    <w:qFormat/>
    <w:uiPriority w:val="0"/>
    <w:rPr>
      <w:color w:val="0000FF"/>
      <w:u w:val="single"/>
    </w:rPr>
  </w:style>
  <w:style w:type="paragraph" w:customStyle="1" w:styleId="11">
    <w:name w:val="Heading2"/>
    <w:basedOn w:val="1"/>
    <w:next w:val="1"/>
    <w:autoRedefine/>
    <w:qFormat/>
    <w:uiPriority w:val="0"/>
    <w:pPr>
      <w:spacing w:before="100" w:beforeAutospacing="1" w:after="100" w:afterAutospacing="1"/>
    </w:pPr>
    <w:rPr>
      <w:rFonts w:ascii="宋体" w:hAnsi="宋体" w:cs="宋体"/>
      <w:b/>
      <w:bCs/>
      <w:sz w:val="36"/>
      <w:szCs w:val="36"/>
    </w:rPr>
  </w:style>
  <w:style w:type="table" w:customStyle="1" w:styleId="12">
    <w:name w:val="Table Normal"/>
    <w:autoRedefine/>
    <w:qFormat/>
    <w:uiPriority w:val="0"/>
    <w:tblPr>
      <w:tblCellMar>
        <w:top w:w="0" w:type="dxa"/>
        <w:left w:w="0" w:type="dxa"/>
        <w:bottom w:w="0" w:type="dxa"/>
        <w:right w:w="0" w:type="dxa"/>
      </w:tblCellMar>
    </w:tblPr>
  </w:style>
  <w:style w:type="paragraph" w:customStyle="1" w:styleId="13">
    <w:name w:val="Table Text"/>
    <w:basedOn w:val="1"/>
    <w:autoRedefine/>
    <w:qFormat/>
    <w:uiPriority w:val="0"/>
  </w:style>
  <w:style w:type="table" w:customStyle="1" w:styleId="14">
    <w:name w:val="网格型浅色1"/>
    <w:basedOn w:val="8"/>
    <w:autoRedefine/>
    <w:qFormat/>
    <w:uiPriority w:val="40"/>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 w:type="paragraph" w:styleId="15">
    <w:name w:val="List Paragraph"/>
    <w:basedOn w:val="1"/>
    <w:autoRedefine/>
    <w:qFormat/>
    <w:uiPriority w:val="99"/>
    <w:pPr>
      <w:ind w:firstLine="420" w:firstLineChars="200"/>
    </w:pPr>
  </w:style>
  <w:style w:type="character" w:customStyle="1" w:styleId="16">
    <w:name w:val="未处理的提及1"/>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253</Words>
  <Characters>1445</Characters>
  <Lines>12</Lines>
  <Paragraphs>3</Paragraphs>
  <TotalTime>6</TotalTime>
  <ScaleCrop>false</ScaleCrop>
  <LinksUpToDate>false</LinksUpToDate>
  <CharactersWithSpaces>1695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2024-03-06T05:02:00Z</dcterms:created>
  <dc:creator>Microsoft Office 用户</dc:creator>
  <cp:lastModifiedBy>海深八千米蔚蓝i</cp:lastModifiedBy>
  <dcterms:modified xsi:type="dcterms:W3CDTF">2024-03-19T03:44:07Z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2023-03-13T21:29:19Z</vt:filetime>
  </property>
  <property fmtid="{D5CDD505-2E9C-101B-9397-08002B2CF9AE}" pid="4" name="UsrData">
    <vt:lpwstr>640f251b23b18500150fd403</vt:lpwstr>
  </property>
  <property fmtid="{D5CDD505-2E9C-101B-9397-08002B2CF9AE}" pid="5" name="KSOProductBuildVer">
    <vt:lpwstr>2052-12.1.0.16388</vt:lpwstr>
  </property>
  <property fmtid="{D5CDD505-2E9C-101B-9397-08002B2CF9AE}" pid="6" name="ICV">
    <vt:lpwstr>75553BE208584F81B543F7953FE2B551</vt:lpwstr>
  </property>
</Properties>
</file>