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color w:val="auto"/>
          <w:sz w:val="32"/>
          <w:szCs w:val="32"/>
        </w:rPr>
      </w:pPr>
      <w:bookmarkStart w:id="0" w:name="_GoBack"/>
      <w:r>
        <w:rPr>
          <w:rFonts w:hint="eastAsia" w:asciiTheme="minorEastAsia" w:hAnsiTheme="minorEastAsia" w:eastAsiaTheme="minorEastAsia" w:cstheme="minorEastAsia"/>
          <w:b/>
          <w:color w:val="auto"/>
          <w:sz w:val="32"/>
          <w:szCs w:val="32"/>
        </w:rPr>
        <w:t>研究生答辩须知</w:t>
      </w: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一、基本要求：</w:t>
      </w: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（一）严格按照研究生院有关规定开展研究生学位论文答辩工作。</w:t>
      </w: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（二）研究生学位论文答辩工作必须在导师确认定稿后方可进行。</w:t>
      </w: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（三）硕士生采用相对集中答辩的方式，由学科组织答辩；博士生由学科安排答辩时间。</w:t>
      </w: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（四）每场答辩人数硕士生最多6人；博士生最多3人。</w:t>
      </w:r>
    </w:p>
    <w:p>
      <w:pPr>
        <w:keepNext w:val="0"/>
        <w:keepLines w:val="0"/>
        <w:pageBreakBefore w:val="0"/>
        <w:widowControl w:val="0"/>
        <w:kinsoku/>
        <w:overflowPunct/>
        <w:topLinePunct w:val="0"/>
        <w:autoSpaceDE/>
        <w:autoSpaceDN/>
        <w:bidi w:val="0"/>
        <w:adjustRightInd/>
        <w:snapToGrid/>
        <w:spacing w:line="360" w:lineRule="exact"/>
        <w:ind w:firstLine="105" w:firstLineChars="5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研究生学位论文答辩费用</w:t>
      </w:r>
      <w:r>
        <w:rPr>
          <w:rFonts w:hint="eastAsia" w:asciiTheme="minorEastAsia" w:hAnsiTheme="minorEastAsia" w:eastAsiaTheme="minorEastAsia" w:cstheme="minorEastAsia"/>
          <w:color w:val="auto"/>
          <w:szCs w:val="21"/>
        </w:rPr>
        <w:t>标准</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硕士论文评阅、答辩费均为</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00元/本，答辩秘书为100元/</w:t>
      </w:r>
      <w:r>
        <w:rPr>
          <w:rFonts w:hint="eastAsia" w:asciiTheme="minorEastAsia" w:hAnsiTheme="minorEastAsia" w:eastAsiaTheme="minorEastAsia" w:cstheme="minorEastAsia"/>
          <w:color w:val="auto"/>
          <w:szCs w:val="21"/>
          <w:lang w:eastAsia="zh-CN"/>
        </w:rPr>
        <w:t>生</w:t>
      </w:r>
      <w:r>
        <w:rPr>
          <w:rFonts w:hint="eastAsia" w:asciiTheme="minorEastAsia" w:hAnsiTheme="minorEastAsia" w:eastAsiaTheme="minorEastAsia" w:cstheme="minorEastAsia"/>
          <w:color w:val="auto"/>
          <w:szCs w:val="21"/>
        </w:rPr>
        <w:t>，答辩活动费每次不超过300元。</w:t>
      </w:r>
      <w:r>
        <w:rPr>
          <w:rFonts w:hint="eastAsia" w:asciiTheme="minorEastAsia" w:hAnsiTheme="minorEastAsia" w:eastAsiaTheme="minorEastAsia" w:cstheme="minorEastAsia"/>
          <w:b w:val="0"/>
          <w:bCs w:val="0"/>
          <w:color w:val="auto"/>
          <w:szCs w:val="21"/>
        </w:rPr>
        <w:t>博士论文盲审评阅费</w:t>
      </w:r>
      <w:r>
        <w:rPr>
          <w:rFonts w:hint="eastAsia" w:asciiTheme="minorEastAsia" w:hAnsiTheme="minorEastAsia" w:eastAsiaTheme="minorEastAsia" w:cstheme="minorEastAsia"/>
          <w:b w:val="0"/>
          <w:bCs w:val="0"/>
          <w:color w:val="auto"/>
          <w:szCs w:val="21"/>
          <w:lang w:eastAsia="zh-CN"/>
        </w:rPr>
        <w:t>学校盲审</w:t>
      </w:r>
      <w:r>
        <w:rPr>
          <w:rFonts w:hint="eastAsia" w:asciiTheme="minorEastAsia" w:hAnsiTheme="minorEastAsia" w:eastAsiaTheme="minorEastAsia" w:cstheme="minorEastAsia"/>
          <w:b w:val="0"/>
          <w:bCs w:val="0"/>
          <w:color w:val="auto"/>
          <w:szCs w:val="21"/>
        </w:rPr>
        <w:t>为</w:t>
      </w:r>
      <w:r>
        <w:rPr>
          <w:rFonts w:hint="eastAsia" w:asciiTheme="minorEastAsia" w:hAnsiTheme="minorEastAsia" w:eastAsiaTheme="minorEastAsia" w:cstheme="minorEastAsia"/>
          <w:b w:val="0"/>
          <w:bCs w:val="0"/>
          <w:color w:val="auto"/>
          <w:szCs w:val="21"/>
          <w:lang w:val="en-US" w:eastAsia="zh-CN"/>
        </w:rPr>
        <w:t>4</w:t>
      </w:r>
      <w:r>
        <w:rPr>
          <w:rFonts w:hint="eastAsia" w:asciiTheme="minorEastAsia" w:hAnsiTheme="minorEastAsia" w:eastAsiaTheme="minorEastAsia" w:cstheme="minorEastAsia"/>
          <w:b w:val="0"/>
          <w:bCs w:val="0"/>
          <w:color w:val="auto"/>
          <w:szCs w:val="21"/>
        </w:rPr>
        <w:t>00元/本，</w:t>
      </w:r>
      <w:r>
        <w:rPr>
          <w:rFonts w:hint="eastAsia" w:asciiTheme="minorEastAsia" w:hAnsiTheme="minorEastAsia" w:eastAsiaTheme="minorEastAsia" w:cstheme="minorEastAsia"/>
          <w:b w:val="0"/>
          <w:bCs w:val="0"/>
          <w:color w:val="auto"/>
          <w:szCs w:val="21"/>
          <w:lang w:eastAsia="zh-CN"/>
        </w:rPr>
        <w:t>学院盲审为</w:t>
      </w:r>
      <w:r>
        <w:rPr>
          <w:rFonts w:hint="eastAsia" w:asciiTheme="minorEastAsia" w:hAnsiTheme="minorEastAsia" w:eastAsiaTheme="minorEastAsia" w:cstheme="minorEastAsia"/>
          <w:b w:val="0"/>
          <w:bCs w:val="0"/>
          <w:color w:val="auto"/>
          <w:szCs w:val="21"/>
          <w:lang w:val="en-US" w:eastAsia="zh-CN"/>
        </w:rPr>
        <w:t>500元</w:t>
      </w:r>
      <w:r>
        <w:rPr>
          <w:rFonts w:hint="eastAsia" w:asciiTheme="minorEastAsia" w:hAnsiTheme="minorEastAsia" w:eastAsiaTheme="minorEastAsia" w:cstheme="minorEastAsia"/>
          <w:b w:val="0"/>
          <w:bCs w:val="0"/>
          <w:color w:val="auto"/>
          <w:szCs w:val="21"/>
        </w:rPr>
        <w:t>/本</w:t>
      </w:r>
      <w:r>
        <w:rPr>
          <w:rFonts w:hint="eastAsia" w:asciiTheme="minorEastAsia" w:hAnsiTheme="minorEastAsia" w:eastAsiaTheme="minorEastAsia" w:cstheme="minorEastAsia"/>
          <w:b w:val="0"/>
          <w:bCs w:val="0"/>
          <w:color w:val="auto"/>
          <w:szCs w:val="21"/>
          <w:lang w:eastAsia="zh-CN"/>
        </w:rPr>
        <w:t>，</w:t>
      </w:r>
      <w:r>
        <w:rPr>
          <w:rFonts w:hint="eastAsia" w:asciiTheme="minorEastAsia" w:hAnsiTheme="minorEastAsia" w:eastAsiaTheme="minorEastAsia" w:cstheme="minorEastAsia"/>
          <w:b w:val="0"/>
          <w:bCs w:val="0"/>
          <w:color w:val="auto"/>
          <w:szCs w:val="21"/>
        </w:rPr>
        <w:t>答辩费为</w:t>
      </w:r>
      <w:r>
        <w:rPr>
          <w:rFonts w:hint="eastAsia" w:asciiTheme="minorEastAsia" w:hAnsiTheme="minorEastAsia" w:eastAsiaTheme="minorEastAsia" w:cstheme="minorEastAsia"/>
          <w:b w:val="0"/>
          <w:bCs w:val="0"/>
          <w:color w:val="auto"/>
          <w:szCs w:val="21"/>
          <w:lang w:val="en-US" w:eastAsia="zh-CN"/>
        </w:rPr>
        <w:t>5</w:t>
      </w:r>
      <w:r>
        <w:rPr>
          <w:rFonts w:hint="eastAsia" w:asciiTheme="minorEastAsia" w:hAnsiTheme="minorEastAsia" w:eastAsiaTheme="minorEastAsia" w:cstheme="minorEastAsia"/>
          <w:color w:val="auto"/>
          <w:szCs w:val="21"/>
        </w:rPr>
        <w:t>00元/本，答辩秘书为100元/</w:t>
      </w:r>
      <w:r>
        <w:rPr>
          <w:rFonts w:hint="eastAsia" w:asciiTheme="minorEastAsia" w:hAnsiTheme="minorEastAsia" w:eastAsiaTheme="minorEastAsia" w:cstheme="minorEastAsia"/>
          <w:color w:val="auto"/>
          <w:szCs w:val="21"/>
          <w:lang w:eastAsia="zh-CN"/>
        </w:rPr>
        <w:t>生</w:t>
      </w:r>
      <w:r>
        <w:rPr>
          <w:rFonts w:hint="eastAsia" w:asciiTheme="minorEastAsia" w:hAnsiTheme="minorEastAsia" w:eastAsiaTheme="minorEastAsia" w:cstheme="minorEastAsia"/>
          <w:color w:val="auto"/>
          <w:szCs w:val="21"/>
        </w:rPr>
        <w:t>，答辩活动费每次不超过800元。</w:t>
      </w: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(六)</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不提倡学生答辩</w:t>
      </w:r>
      <w:r>
        <w:rPr>
          <w:rFonts w:hint="eastAsia" w:asciiTheme="minorEastAsia" w:hAnsiTheme="minorEastAsia" w:eastAsiaTheme="minorEastAsia" w:cstheme="minorEastAsia"/>
          <w:color w:val="auto"/>
          <w:szCs w:val="21"/>
        </w:rPr>
        <w:t>结束后</w:t>
      </w:r>
      <w:r>
        <w:rPr>
          <w:rFonts w:hint="eastAsia" w:asciiTheme="minorEastAsia" w:hAnsiTheme="minorEastAsia" w:eastAsiaTheme="minorEastAsia" w:cstheme="minorEastAsia"/>
          <w:color w:val="auto"/>
          <w:szCs w:val="21"/>
        </w:rPr>
        <w:t>举办</w:t>
      </w:r>
      <w:r>
        <w:rPr>
          <w:rFonts w:hint="eastAsia" w:asciiTheme="minorEastAsia" w:hAnsiTheme="minorEastAsia" w:eastAsiaTheme="minorEastAsia" w:cstheme="minorEastAsia"/>
          <w:color w:val="auto"/>
          <w:szCs w:val="21"/>
        </w:rPr>
        <w:t>谢师宴请。</w:t>
      </w: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color w:val="auto"/>
          <w:sz w:val="24"/>
        </w:rPr>
      </w:pP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二、答辩程序：</w:t>
      </w: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（一）申请答辩</w:t>
      </w:r>
    </w:p>
    <w:p>
      <w:pPr>
        <w:keepNext w:val="0"/>
        <w:keepLines w:val="0"/>
        <w:pageBreakBefore w:val="0"/>
        <w:widowControl w:val="0"/>
        <w:kinsoku/>
        <w:overflowPunct/>
        <w:topLinePunct w:val="0"/>
        <w:autoSpaceDE/>
        <w:autoSpaceDN/>
        <w:bidi w:val="0"/>
        <w:adjustRightInd/>
        <w:snapToGrid/>
        <w:spacing w:line="360" w:lineRule="exact"/>
        <w:ind w:firstLine="422" w:firstLineChars="200"/>
        <w:textAlignment w:val="auto"/>
        <w:outlineLvl w:val="9"/>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博士研究生：</w:t>
      </w:r>
    </w:p>
    <w:p>
      <w:pPr>
        <w:pStyle w:val="10"/>
        <w:keepNext w:val="0"/>
        <w:keepLines w:val="0"/>
        <w:pageBreakBefore w:val="0"/>
        <w:widowControl w:val="0"/>
        <w:kinsoku/>
        <w:overflowPunct/>
        <w:topLinePunct w:val="0"/>
        <w:autoSpaceDE/>
        <w:autoSpaceDN/>
        <w:bidi w:val="0"/>
        <w:adjustRightInd/>
        <w:snapToGrid/>
        <w:spacing w:line="360" w:lineRule="exact"/>
        <w:ind w:left="420" w:firstLine="0" w:firstLine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博士研究生在申请答辩前必须进行学位论文查重和预答辩。</w:t>
      </w:r>
    </w:p>
    <w:p>
      <w:pPr>
        <w:pStyle w:val="10"/>
        <w:keepNext w:val="0"/>
        <w:keepLines w:val="0"/>
        <w:pageBreakBefore w:val="0"/>
        <w:widowControl w:val="0"/>
        <w:kinsoku/>
        <w:overflowPunct/>
        <w:topLinePunct w:val="0"/>
        <w:autoSpaceDE/>
        <w:autoSpaceDN/>
        <w:bidi w:val="0"/>
        <w:adjustRightInd/>
        <w:snapToGrid/>
        <w:spacing w:line="360" w:lineRule="exact"/>
        <w:ind w:left="420" w:firstLine="0" w:firstLine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）学位论文查重最迟应在预答辩前三天提交，由人文学院研办负责查重。凡学位论文查重未通过者两星期后</w:t>
      </w:r>
    </w:p>
    <w:p>
      <w:pPr>
        <w:pStyle w:val="10"/>
        <w:keepNext w:val="0"/>
        <w:keepLines w:val="0"/>
        <w:pageBreakBefore w:val="0"/>
        <w:widowControl w:val="0"/>
        <w:kinsoku/>
        <w:overflowPunct/>
        <w:topLinePunct w:val="0"/>
        <w:autoSpaceDE/>
        <w:autoSpaceDN/>
        <w:bidi w:val="0"/>
        <w:adjustRightInd/>
        <w:snapToGrid/>
        <w:spacing w:line="360" w:lineRule="exact"/>
        <w:ind w:firstLine="0" w:firstLine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才能再次申请查重。</w:t>
      </w:r>
    </w:p>
    <w:p>
      <w:pPr>
        <w:pStyle w:val="10"/>
        <w:keepNext w:val="0"/>
        <w:keepLines w:val="0"/>
        <w:pageBreakBefore w:val="0"/>
        <w:widowControl w:val="0"/>
        <w:kinsoku/>
        <w:overflowPunct/>
        <w:topLinePunct w:val="0"/>
        <w:autoSpaceDE/>
        <w:autoSpaceDN/>
        <w:bidi w:val="0"/>
        <w:adjustRightInd/>
        <w:snapToGrid/>
        <w:spacing w:line="360" w:lineRule="exact"/>
        <w:ind w:left="420" w:firstLine="0" w:firstLine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）学位论文查重通过者最迟应在申请答辩前一周进行学位论文预答辩，由所在学科组织。凡预答辩未通过者</w:t>
      </w:r>
    </w:p>
    <w:p>
      <w:pPr>
        <w:pStyle w:val="10"/>
        <w:keepNext w:val="0"/>
        <w:keepLines w:val="0"/>
        <w:pageBreakBefore w:val="0"/>
        <w:widowControl w:val="0"/>
        <w:kinsoku/>
        <w:overflowPunct/>
        <w:topLinePunct w:val="0"/>
        <w:autoSpaceDE/>
        <w:autoSpaceDN/>
        <w:bidi w:val="0"/>
        <w:adjustRightInd/>
        <w:snapToGrid/>
        <w:spacing w:line="360" w:lineRule="exact"/>
        <w:ind w:firstLine="0" w:firstLine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三个月后才能再次申请预答辩。</w:t>
      </w:r>
    </w:p>
    <w:p>
      <w:pPr>
        <w:pStyle w:val="10"/>
        <w:keepNext w:val="0"/>
        <w:keepLines w:val="0"/>
        <w:pageBreakBefore w:val="0"/>
        <w:widowControl w:val="0"/>
        <w:kinsoku/>
        <w:overflowPunct/>
        <w:topLinePunct w:val="0"/>
        <w:autoSpaceDE/>
        <w:autoSpaceDN/>
        <w:bidi w:val="0"/>
        <w:adjustRightInd/>
        <w:snapToGrid/>
        <w:spacing w:line="360" w:lineRule="exact"/>
        <w:ind w:left="420" w:firstLine="0" w:firstLine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t>）学位论文查重报告中“</w:t>
      </w:r>
      <w:r>
        <w:rPr>
          <w:rFonts w:hint="eastAsia" w:asciiTheme="minorEastAsia" w:hAnsiTheme="minorEastAsia" w:eastAsiaTheme="minorEastAsia" w:cstheme="minorEastAsia"/>
          <w:color w:val="auto"/>
          <w:kern w:val="0"/>
          <w:szCs w:val="21"/>
        </w:rPr>
        <w:t>排除参考文献相似比</w:t>
      </w:r>
      <w:r>
        <w:rPr>
          <w:rFonts w:hint="eastAsia" w:asciiTheme="minorEastAsia" w:hAnsiTheme="minorEastAsia" w:eastAsiaTheme="minorEastAsia" w:cstheme="minorEastAsia"/>
          <w:color w:val="auto"/>
          <w:szCs w:val="21"/>
        </w:rPr>
        <w:t>”低于15%且预答辩“通过”者，填写</w:t>
      </w:r>
      <w:r>
        <w:rPr>
          <w:rFonts w:hint="eastAsia" w:asciiTheme="minorEastAsia" w:hAnsiTheme="minorEastAsia" w:eastAsiaTheme="minorEastAsia" w:cstheme="minorEastAsia"/>
          <w:color w:val="auto"/>
          <w:szCs w:val="21"/>
        </w:rPr>
        <w:t>《人文学院博士生学位</w:t>
      </w:r>
    </w:p>
    <w:p>
      <w:pPr>
        <w:pStyle w:val="10"/>
        <w:keepNext w:val="0"/>
        <w:keepLines w:val="0"/>
        <w:pageBreakBefore w:val="0"/>
        <w:widowControl w:val="0"/>
        <w:kinsoku/>
        <w:overflowPunct/>
        <w:topLinePunct w:val="0"/>
        <w:autoSpaceDE/>
        <w:autoSpaceDN/>
        <w:bidi w:val="0"/>
        <w:adjustRightInd/>
        <w:snapToGrid/>
        <w:spacing w:line="360" w:lineRule="exact"/>
        <w:ind w:firstLine="0" w:firstLine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论文查重、预答辩情况表》后，</w:t>
      </w:r>
      <w:r>
        <w:rPr>
          <w:rFonts w:hint="eastAsia" w:asciiTheme="minorEastAsia" w:hAnsiTheme="minorEastAsia" w:eastAsiaTheme="minorEastAsia" w:cstheme="minorEastAsia"/>
          <w:color w:val="auto"/>
          <w:szCs w:val="21"/>
        </w:rPr>
        <w:t>方可申请答辩。</w:t>
      </w:r>
      <w:r>
        <w:rPr>
          <w:rFonts w:hint="eastAsia" w:asciiTheme="minorEastAsia" w:hAnsiTheme="minorEastAsia" w:eastAsiaTheme="minorEastAsia" w:cstheme="minorEastAsia"/>
          <w:color w:val="auto"/>
        </w:rPr>
        <w:t>此表一式两份，一份在申请答辩时提交研究生院学位办；一份人文学院研办留存。</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2、博士研究生向院研办提交“东南大学博士研究生答辩申请材料审核表”（两份）及有关材料，经审核合格后,按照《</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"http://seugs.seu.edu.cn/8e/74/c3687a36468/page.htm" \t "_blank" \o "东南大学博士研究生论文答辩及学位申请流程图"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东南大学博士研究生论文答辩及学位申请流程图</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t>》的要求到四牌楼</w:t>
      </w:r>
      <w:r>
        <w:rPr>
          <w:rFonts w:hint="eastAsia" w:asciiTheme="minorEastAsia" w:hAnsiTheme="minorEastAsia" w:eastAsiaTheme="minorEastAsia" w:cstheme="minorEastAsia"/>
          <w:color w:val="auto"/>
          <w:szCs w:val="21"/>
        </w:rPr>
        <w:t>校区</w:t>
      </w:r>
      <w:r>
        <w:rPr>
          <w:rFonts w:hint="eastAsia" w:asciiTheme="minorEastAsia" w:hAnsiTheme="minorEastAsia" w:eastAsiaTheme="minorEastAsia" w:cstheme="minorEastAsia"/>
          <w:color w:val="auto"/>
          <w:szCs w:val="21"/>
        </w:rPr>
        <w:t>研究生院学位办按规定申请答辩。</w:t>
      </w:r>
    </w:p>
    <w:p>
      <w:pPr>
        <w:keepNext w:val="0"/>
        <w:keepLines w:val="0"/>
        <w:pageBreakBefore w:val="0"/>
        <w:widowControl w:val="0"/>
        <w:kinsoku/>
        <w:overflowPunct/>
        <w:topLinePunct w:val="0"/>
        <w:autoSpaceDE/>
        <w:autoSpaceDN/>
        <w:bidi w:val="0"/>
        <w:adjustRightInd/>
        <w:snapToGrid/>
        <w:spacing w:line="360" w:lineRule="exact"/>
        <w:ind w:firstLine="422" w:firstLineChars="200"/>
        <w:textAlignment w:val="auto"/>
        <w:outlineLvl w:val="9"/>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硕士研究生：</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请准备好以下材料后到院研办申请答辩：</w:t>
      </w:r>
    </w:p>
    <w:p>
      <w:pPr>
        <w:keepNext w:val="0"/>
        <w:keepLines w:val="0"/>
        <w:pageBreakBefore w:val="0"/>
        <w:widowControl w:val="0"/>
        <w:numPr>
          <w:ilvl w:val="0"/>
          <w:numId w:val="1"/>
        </w:numPr>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学位论文盲审格式电子版：</w:t>
      </w:r>
    </w:p>
    <w:p>
      <w:pPr>
        <w:keepNext w:val="0"/>
        <w:keepLines w:val="0"/>
        <w:pageBreakBefore w:val="0"/>
        <w:widowControl w:val="0"/>
        <w:kinsoku/>
        <w:overflowPunct/>
        <w:topLinePunct w:val="0"/>
        <w:autoSpaceDE/>
        <w:autoSpaceDN/>
        <w:bidi w:val="0"/>
        <w:adjustRightInd/>
        <w:snapToGrid/>
        <w:spacing w:line="360" w:lineRule="exact"/>
        <w:ind w:firstLine="840" w:firstLineChars="4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盲审格式要求：研究生院主页→学位教育→管理办法→研究生学位论文格式规定。</w:t>
      </w:r>
    </w:p>
    <w:p>
      <w:pPr>
        <w:keepNext w:val="0"/>
        <w:keepLines w:val="0"/>
        <w:pageBreakBefore w:val="0"/>
        <w:widowControl w:val="0"/>
        <w:kinsoku/>
        <w:overflowPunct/>
        <w:topLinePunct w:val="0"/>
        <w:autoSpaceDE/>
        <w:autoSpaceDN/>
        <w:bidi w:val="0"/>
        <w:adjustRightInd/>
        <w:snapToGrid/>
        <w:spacing w:line="360" w:lineRule="exact"/>
        <w:ind w:firstLine="840" w:firstLineChars="4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① 用于查重。</w:t>
      </w:r>
    </w:p>
    <w:p>
      <w:pPr>
        <w:keepNext w:val="0"/>
        <w:keepLines w:val="0"/>
        <w:pageBreakBefore w:val="0"/>
        <w:widowControl w:val="0"/>
        <w:kinsoku/>
        <w:overflowPunct/>
        <w:topLinePunct w:val="0"/>
        <w:autoSpaceDE/>
        <w:autoSpaceDN/>
        <w:bidi w:val="0"/>
        <w:adjustRightInd/>
        <w:snapToGrid/>
        <w:spacing w:line="360" w:lineRule="exact"/>
        <w:ind w:left="420" w:leftChars="200"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凡</w:t>
      </w:r>
      <w:r>
        <w:rPr>
          <w:rFonts w:hint="eastAsia" w:asciiTheme="minorEastAsia" w:hAnsiTheme="minorEastAsia" w:eastAsiaTheme="minorEastAsia" w:cstheme="minorEastAsia"/>
          <w:color w:val="auto"/>
        </w:rPr>
        <w:t>学位论文查重报告中“</w:t>
      </w:r>
      <w:r>
        <w:rPr>
          <w:rFonts w:hint="eastAsia" w:asciiTheme="minorEastAsia" w:hAnsiTheme="minorEastAsia" w:eastAsiaTheme="minorEastAsia" w:cstheme="minorEastAsia"/>
          <w:color w:val="auto"/>
          <w:kern w:val="0"/>
          <w:szCs w:val="21"/>
        </w:rPr>
        <w:t>排除参考文献相似比</w:t>
      </w:r>
      <w:r>
        <w:rPr>
          <w:rFonts w:hint="eastAsia" w:asciiTheme="minorEastAsia" w:hAnsiTheme="minorEastAsia" w:eastAsiaTheme="minorEastAsia" w:cstheme="minorEastAsia"/>
          <w:color w:val="auto"/>
          <w:szCs w:val="21"/>
        </w:rPr>
        <w:t>”低于15%者，方可申请答辩；未达到要求者，经修改两周后再次进行查重，第二次未达要求者，经修改一个月后再进行查重。</w:t>
      </w:r>
    </w:p>
    <w:p>
      <w:pPr>
        <w:keepNext w:val="0"/>
        <w:keepLines w:val="0"/>
        <w:pageBreakBefore w:val="0"/>
        <w:widowControl w:val="0"/>
        <w:kinsoku/>
        <w:overflowPunct/>
        <w:topLinePunct w:val="0"/>
        <w:autoSpaceDE/>
        <w:autoSpaceDN/>
        <w:bidi w:val="0"/>
        <w:adjustRightInd/>
        <w:snapToGrid/>
        <w:spacing w:line="360" w:lineRule="exact"/>
        <w:ind w:firstLine="840" w:firstLineChars="4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②用于办理盲审。</w:t>
      </w:r>
    </w:p>
    <w:p>
      <w:pPr>
        <w:keepNext w:val="0"/>
        <w:keepLines w:val="0"/>
        <w:pageBreakBefore w:val="0"/>
        <w:widowControl w:val="0"/>
        <w:kinsoku/>
        <w:overflowPunct/>
        <w:topLinePunct w:val="0"/>
        <w:autoSpaceDE/>
        <w:autoSpaceDN/>
        <w:bidi w:val="0"/>
        <w:adjustRightInd/>
        <w:snapToGrid/>
        <w:spacing w:line="360" w:lineRule="exact"/>
        <w:ind w:firstLine="840" w:firstLineChars="4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上传符合盲审格式要求的电子版研究生学位论文；</w:t>
      </w:r>
    </w:p>
    <w:p>
      <w:pPr>
        <w:keepNext w:val="0"/>
        <w:keepLines w:val="0"/>
        <w:pageBreakBefore w:val="0"/>
        <w:widowControl w:val="0"/>
        <w:kinsoku/>
        <w:overflowPunct/>
        <w:topLinePunct w:val="0"/>
        <w:autoSpaceDE/>
        <w:autoSpaceDN/>
        <w:bidi w:val="0"/>
        <w:adjustRightInd/>
        <w:snapToGrid/>
        <w:spacing w:line="360" w:lineRule="exact"/>
        <w:ind w:firstLine="840" w:firstLineChars="4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网</w:t>
      </w:r>
      <w:r>
        <w:rPr>
          <w:rFonts w:hint="eastAsia" w:asciiTheme="minorEastAsia" w:hAnsiTheme="minorEastAsia" w:eastAsiaTheme="minorEastAsia" w:cstheme="minorEastAsia"/>
          <w:color w:val="auto"/>
          <w:szCs w:val="21"/>
        </w:rPr>
        <w:t>址：研究生院学生服务系统→个人信息→盲审论文上传→盲审格式的</w:t>
      </w:r>
      <w:r>
        <w:rPr>
          <w:rFonts w:hint="eastAsia" w:asciiTheme="minorEastAsia" w:hAnsiTheme="minorEastAsia" w:eastAsiaTheme="minorEastAsia" w:cstheme="minorEastAsia"/>
          <w:color w:val="auto"/>
          <w:szCs w:val="21"/>
        </w:rPr>
        <w:t>PDF</w:t>
      </w:r>
      <w:r>
        <w:rPr>
          <w:rFonts w:hint="eastAsia" w:asciiTheme="minorEastAsia" w:hAnsiTheme="minorEastAsia" w:eastAsiaTheme="minorEastAsia" w:cstheme="minorEastAsia"/>
          <w:color w:val="auto"/>
          <w:szCs w:val="21"/>
        </w:rPr>
        <w:t>电子版学位论文。</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两份答辩申请表（网上个人信息系统中打印）。</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rPr>
        <w:t>、导师在答辩申请表上写上“已定稿”并签名；如因故委托其他导师签字的，导师务必签署“委托书”附在答辩申请表后。</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两本装订成册且符合要求的学位论文</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（注：</w:t>
      </w:r>
      <w:r>
        <w:rPr>
          <w:rFonts w:hint="eastAsia" w:asciiTheme="minorEastAsia" w:hAnsiTheme="minorEastAsia" w:eastAsiaTheme="minorEastAsia" w:cstheme="minorEastAsia"/>
          <w:color w:val="auto"/>
          <w:szCs w:val="21"/>
          <w:lang w:val="en-US" w:eastAsia="zh-CN"/>
        </w:rPr>
        <w:t>MPA学生需准备两本按盲审格式装订成册且符合要求的学位论文及两份“</w:t>
      </w:r>
      <w:r>
        <w:rPr>
          <w:rFonts w:hint="eastAsia" w:asciiTheme="minorEastAsia" w:hAnsiTheme="minorEastAsia" w:eastAsiaTheme="minorEastAsia" w:cstheme="minorEastAsia"/>
          <w:color w:val="auto"/>
          <w:szCs w:val="21"/>
        </w:rPr>
        <w:t>研究生学位论文匿名评阅书</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w:t>
      </w: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color w:val="auto"/>
          <w:sz w:val="24"/>
        </w:rPr>
      </w:pP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（二）准备答辩：</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1、博士生答辩准备工作在研究生院完成。博士生均需盲审，按《</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"http://seugs.seu.edu.cn/8e/74/c3687a36468/page.htm" \t "_blank" \o "东南大学博士研究生论文答辩及学位申请流程图"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东南大学博士研究生论文答辩及学位申请流程图</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t>》准备好相应的材料每周二、周五到四牌楼</w:t>
      </w:r>
      <w:r>
        <w:rPr>
          <w:rFonts w:hint="eastAsia" w:asciiTheme="minorEastAsia" w:hAnsiTheme="minorEastAsia" w:eastAsiaTheme="minorEastAsia" w:cstheme="minorEastAsia"/>
          <w:color w:val="auto"/>
          <w:szCs w:val="21"/>
        </w:rPr>
        <w:t>校区</w:t>
      </w:r>
      <w:r>
        <w:rPr>
          <w:rFonts w:hint="eastAsia" w:asciiTheme="minorEastAsia" w:hAnsiTheme="minorEastAsia" w:eastAsiaTheme="minorEastAsia" w:cstheme="minorEastAsia"/>
          <w:color w:val="auto"/>
          <w:szCs w:val="21"/>
        </w:rPr>
        <w:t>研究生院学位办办理答辩申请手续。</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2、硕士生在学生信息服务系统上传符合盲审格式要求的电子版学位论文后，</w:t>
      </w:r>
      <w:r>
        <w:rPr>
          <w:rFonts w:hint="eastAsia" w:asciiTheme="minorEastAsia" w:hAnsiTheme="minorEastAsia" w:eastAsiaTheme="minorEastAsia" w:cstheme="minorEastAsia"/>
          <w:color w:val="auto"/>
          <w:szCs w:val="21"/>
        </w:rPr>
        <w:t>凭两份导师、研究生秘书已签字的“答辩申请表”</w:t>
      </w:r>
      <w:r>
        <w:rPr>
          <w:rFonts w:hint="eastAsia" w:asciiTheme="minorEastAsia" w:hAnsiTheme="minorEastAsia" w:eastAsiaTheme="minorEastAsia" w:cstheme="minorEastAsia"/>
          <w:b/>
          <w:color w:val="auto"/>
          <w:szCs w:val="21"/>
        </w:rPr>
        <w:t>每周二、五</w:t>
      </w:r>
      <w:r>
        <w:rPr>
          <w:rFonts w:hint="eastAsia" w:asciiTheme="minorEastAsia" w:hAnsiTheme="minorEastAsia" w:eastAsiaTheme="minorEastAsia" w:cstheme="minorEastAsia"/>
          <w:color w:val="auto"/>
          <w:szCs w:val="21"/>
        </w:rPr>
        <w:t xml:space="preserve">到研究生院九龙湖校区纪忠楼102室培养办公室查询学位论文是否盲审。被确定盲审的学位论文按要求办理盲审手续。 </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rPr>
        <w:t>所有研究生的答辩用成绩单由研究生院培养办统一打印，成绩单表头为“东南大学研究生院硕士研究生成绩单（答辩）”字样。</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盲审论文结果已返回的研究生凭“研究生学位论文匿名评阅书”到培养办打印答辩用成绩单（两份）。</w:t>
      </w:r>
      <w:r>
        <w:rPr>
          <w:rFonts w:hint="eastAsia" w:asciiTheme="minorEastAsia" w:hAnsiTheme="minorEastAsia" w:eastAsiaTheme="minorEastAsia" w:cstheme="minorEastAsia"/>
          <w:color w:val="auto"/>
          <w:szCs w:val="21"/>
        </w:rPr>
        <w:t>再将“评阅书”与“成绩单（答辩）”一起交给系答辩秘书。</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学位论文不盲审的研究生到培养办领取答辩用成绩单（两份），交给系答辩秘书。</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答辩秘书在答辩前十天（明审的需前两周）凭硕士生的“成绩单（答辩）”到院研究生秘书处领取《博士（硕士）研究生学位申请书》两份（其中一份为表一，另一份为人事归档用表）、评阅书两份（明审的同学用，表二）。明审评阅书及学位论文务必在答辩前两周由答辩秘书统一送明审专家评审。</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5、答辩秘书凭填写好的“申请书”（表一）和返回的“评阅书”（表二）到院研究生秘书处领取表决票（盖章后有效）和答辩评分表（硕士生用）。</w:t>
      </w: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color w:val="auto"/>
          <w:szCs w:val="21"/>
        </w:rPr>
      </w:pP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（三）答辩：</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由各学科组成答辩委员会进行答辩。</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答辩工作严格按研究生院有关程序进行。</w:t>
      </w: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color w:val="auto"/>
          <w:szCs w:val="21"/>
        </w:rPr>
      </w:pP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（四）答辩结束后：</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答辩结束后，通过答辩的研究生（包括硕士生和博士生）需做以下工作：</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1、领取材料袋：</w:t>
      </w:r>
    </w:p>
    <w:p>
      <w:pPr>
        <w:keepNext w:val="0"/>
        <w:keepLines w:val="0"/>
        <w:pageBreakBefore w:val="0"/>
        <w:widowControl w:val="0"/>
        <w:kinsoku/>
        <w:overflowPunct/>
        <w:topLinePunct w:val="0"/>
        <w:autoSpaceDE/>
        <w:autoSpaceDN/>
        <w:bidi w:val="0"/>
        <w:adjustRightInd/>
        <w:snapToGrid/>
        <w:spacing w:line="360" w:lineRule="exact"/>
        <w:ind w:left="630" w:leftChars="200" w:hanging="210" w:hangingChars="100"/>
        <w:textAlignment w:val="auto"/>
        <w:outlineLvl w:val="9"/>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color w:val="auto"/>
          <w:szCs w:val="21"/>
        </w:rPr>
        <w:t>（1）研究生本人到院研办领取材料袋等，材料整理好后装袋。</w:t>
      </w:r>
      <w:r>
        <w:rPr>
          <w:rFonts w:hint="eastAsia" w:asciiTheme="minorEastAsia" w:hAnsiTheme="minorEastAsia" w:eastAsiaTheme="minorEastAsia" w:cstheme="minorEastAsia"/>
          <w:b w:val="0"/>
          <w:bCs w:val="0"/>
          <w:color w:val="auto"/>
          <w:szCs w:val="21"/>
        </w:rPr>
        <w:t>（2）</w:t>
      </w:r>
      <w:r>
        <w:rPr>
          <w:rFonts w:hint="eastAsia" w:asciiTheme="minorEastAsia" w:hAnsiTheme="minorEastAsia" w:eastAsiaTheme="minorEastAsia" w:cstheme="minorEastAsia"/>
          <w:b w:val="0"/>
          <w:bCs w:val="0"/>
          <w:color w:val="auto"/>
          <w:szCs w:val="21"/>
          <w:lang w:eastAsia="zh-CN"/>
        </w:rPr>
        <w:t>上传离校研究生终版学位论文（</w:t>
      </w:r>
      <w:r>
        <w:rPr>
          <w:rFonts w:hint="eastAsia" w:asciiTheme="minorEastAsia" w:hAnsiTheme="minorEastAsia" w:eastAsiaTheme="minorEastAsia" w:cstheme="minorEastAsia"/>
          <w:b w:val="0"/>
          <w:bCs w:val="0"/>
          <w:color w:val="auto"/>
          <w:kern w:val="0"/>
          <w:szCs w:val="21"/>
        </w:rPr>
        <w:t>网</w:t>
      </w:r>
      <w:r>
        <w:rPr>
          <w:rFonts w:hint="eastAsia" w:asciiTheme="minorEastAsia" w:hAnsiTheme="minorEastAsia" w:eastAsiaTheme="minorEastAsia" w:cstheme="minorEastAsia"/>
          <w:b w:val="0"/>
          <w:bCs w:val="0"/>
          <w:color w:val="auto"/>
          <w:szCs w:val="21"/>
        </w:rPr>
        <w:t>址：研究生院</w:t>
      </w:r>
      <w:r>
        <w:rPr>
          <w:rFonts w:hint="eastAsia" w:asciiTheme="minorEastAsia" w:hAnsiTheme="minorEastAsia" w:eastAsiaTheme="minorEastAsia" w:cstheme="minorEastAsia"/>
          <w:b w:val="0"/>
          <w:bCs w:val="0"/>
          <w:color w:val="auto"/>
          <w:szCs w:val="21"/>
          <w:lang w:eastAsia="zh-CN"/>
        </w:rPr>
        <w:t>主页</w:t>
      </w:r>
      <w:r>
        <w:rPr>
          <w:rFonts w:hint="eastAsia" w:asciiTheme="minorEastAsia" w:hAnsiTheme="minorEastAsia" w:eastAsiaTheme="minorEastAsia" w:cstheme="minorEastAsia"/>
          <w:b w:val="0"/>
          <w:bCs w:val="0"/>
          <w:color w:val="auto"/>
          <w:szCs w:val="21"/>
        </w:rPr>
        <w:t>→</w:t>
      </w:r>
      <w:r>
        <w:rPr>
          <w:rFonts w:hint="eastAsia" w:asciiTheme="minorEastAsia" w:hAnsiTheme="minorEastAsia" w:eastAsiaTheme="minorEastAsia" w:cstheme="minorEastAsia"/>
          <w:b w:val="0"/>
          <w:bCs w:val="0"/>
          <w:color w:val="auto"/>
          <w:szCs w:val="21"/>
          <w:lang w:eastAsia="zh-CN"/>
        </w:rPr>
        <w:t>信息服务系统</w:t>
      </w:r>
      <w:r>
        <w:rPr>
          <w:rFonts w:hint="eastAsia" w:asciiTheme="minorEastAsia" w:hAnsiTheme="minorEastAsia" w:eastAsiaTheme="minorEastAsia" w:cstheme="minorEastAsia"/>
          <w:b w:val="0"/>
          <w:bCs w:val="0"/>
          <w:color w:val="auto"/>
          <w:szCs w:val="21"/>
        </w:rPr>
        <w:t>→</w:t>
      </w:r>
      <w:r>
        <w:rPr>
          <w:rFonts w:hint="eastAsia" w:asciiTheme="minorEastAsia" w:hAnsiTheme="minorEastAsia" w:eastAsiaTheme="minorEastAsia" w:cstheme="minorEastAsia"/>
          <w:b w:val="0"/>
          <w:bCs w:val="0"/>
          <w:color w:val="auto"/>
          <w:szCs w:val="21"/>
          <w:lang w:eastAsia="zh-CN"/>
        </w:rPr>
        <w:t>离校研究生终版学位论文上传，注：独创性声明页必须有导师和学生本人签字）</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上网录入答辩结果，同时进行学位申请。</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2、材料的缴纳和审核</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研究生本人将需要交给分委会评学位的材料袋（自备）、“研究生档案材料袋”（研究生院发）、评优材料袋（自备）、应交材料单交院研办审核。两份《博士（硕士）研究生学位申请书》，其中一份为“表一”放入申请学位的材料袋，另一份为“人事归档用表”交院研办220室放入研究生人事档案。</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3、办理离校手续：</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材料交齐、审核合格后凭填写好的“离校通知单”到院研办办理离校手续。</w:t>
      </w:r>
    </w:p>
    <w:p>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color w:val="auto"/>
          <w:szCs w:val="21"/>
        </w:rPr>
      </w:pPr>
    </w:p>
    <w:p>
      <w:pPr>
        <w:keepNext w:val="0"/>
        <w:keepLines w:val="0"/>
        <w:pageBreakBefore w:val="0"/>
        <w:widowControl w:val="0"/>
        <w:numPr>
          <w:ilvl w:val="0"/>
          <w:numId w:val="2"/>
        </w:numPr>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每周一、四的上午9:00-12:00在九龙湖人文学院研究生办公室（文科楼A211室）办理上述有关事宜。  </w:t>
      </w:r>
    </w:p>
    <w:p>
      <w:pPr>
        <w:keepNext w:val="0"/>
        <w:keepLines w:val="0"/>
        <w:pageBreakBefore w:val="0"/>
        <w:widowControl w:val="0"/>
        <w:numPr>
          <w:ilvl w:val="0"/>
          <w:numId w:val="2"/>
        </w:numPr>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联系电话：52090933</w:t>
      </w: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color w:val="auto"/>
          <w:szCs w:val="21"/>
        </w:rPr>
      </w:pPr>
    </w:p>
    <w:p>
      <w:pPr>
        <w:keepNext w:val="0"/>
        <w:keepLines w:val="0"/>
        <w:pageBreakBefore w:val="0"/>
        <w:widowControl w:val="0"/>
        <w:kinsoku/>
        <w:overflowPunct/>
        <w:topLinePunct w:val="0"/>
        <w:autoSpaceDE/>
        <w:autoSpaceDN/>
        <w:bidi w:val="0"/>
        <w:adjustRightInd/>
        <w:snapToGrid/>
        <w:spacing w:line="360" w:lineRule="exact"/>
        <w:ind w:firstLine="8707" w:firstLineChars="4130"/>
        <w:textAlignment w:val="auto"/>
        <w:outlineLvl w:val="9"/>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人文学院</w:t>
      </w: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                                                                                  201</w:t>
      </w:r>
      <w:r>
        <w:rPr>
          <w:rFonts w:hint="eastAsia" w:asciiTheme="minorEastAsia" w:hAnsiTheme="minorEastAsia" w:eastAsiaTheme="minorEastAsia" w:cstheme="minorEastAsia"/>
          <w:b/>
          <w:color w:val="auto"/>
          <w:szCs w:val="21"/>
          <w:lang w:val="en-US" w:eastAsia="zh-CN"/>
        </w:rPr>
        <w:t>8</w:t>
      </w:r>
      <w:r>
        <w:rPr>
          <w:rFonts w:hint="eastAsia" w:asciiTheme="minorEastAsia" w:hAnsiTheme="minorEastAsia" w:eastAsiaTheme="minorEastAsia" w:cstheme="minorEastAsia"/>
          <w:b/>
          <w:color w:val="auto"/>
          <w:szCs w:val="21"/>
        </w:rPr>
        <w:t>年</w:t>
      </w:r>
      <w:r>
        <w:rPr>
          <w:rFonts w:hint="eastAsia" w:asciiTheme="minorEastAsia" w:hAnsiTheme="minorEastAsia" w:eastAsiaTheme="minorEastAsia" w:cstheme="minorEastAsia"/>
          <w:b/>
          <w:color w:val="auto"/>
          <w:szCs w:val="21"/>
          <w:lang w:val="en-US" w:eastAsia="zh-CN"/>
        </w:rPr>
        <w:t>11</w:t>
      </w:r>
      <w:r>
        <w:rPr>
          <w:rFonts w:hint="eastAsia" w:asciiTheme="minorEastAsia" w:hAnsiTheme="minorEastAsia" w:eastAsiaTheme="minorEastAsia" w:cstheme="minorEastAsia"/>
          <w:b/>
          <w:color w:val="auto"/>
          <w:szCs w:val="21"/>
        </w:rPr>
        <w:t>月</w:t>
      </w:r>
      <w:r>
        <w:rPr>
          <w:rFonts w:hint="eastAsia" w:asciiTheme="minorEastAsia" w:hAnsiTheme="minorEastAsia" w:eastAsiaTheme="minorEastAsia" w:cstheme="minorEastAsia"/>
          <w:b/>
          <w:color w:val="auto"/>
          <w:szCs w:val="21"/>
          <w:lang w:val="en-US" w:eastAsia="zh-CN"/>
        </w:rPr>
        <w:t>1</w:t>
      </w:r>
      <w:r>
        <w:rPr>
          <w:rFonts w:hint="eastAsia" w:asciiTheme="minorEastAsia" w:hAnsiTheme="minorEastAsia" w:eastAsiaTheme="minorEastAsia" w:cstheme="minorEastAsia"/>
          <w:b/>
          <w:color w:val="auto"/>
          <w:szCs w:val="21"/>
        </w:rPr>
        <w:t>日</w:t>
      </w: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color w:val="auto"/>
          <w:szCs w:val="21"/>
        </w:rPr>
      </w:pPr>
    </w:p>
    <w:bookmarkEnd w:id="0"/>
    <w:sectPr>
      <w:pgSz w:w="11906" w:h="16838"/>
      <w:pgMar w:top="284" w:right="567" w:bottom="284"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E6446"/>
    <w:multiLevelType w:val="multilevel"/>
    <w:tmpl w:val="344E6446"/>
    <w:lvl w:ilvl="0" w:tentative="0">
      <w:start w:val="1"/>
      <w:numFmt w:val="bullet"/>
      <w:lvlText w:val="★"/>
      <w:lvlJc w:val="left"/>
      <w:pPr>
        <w:tabs>
          <w:tab w:val="left" w:pos="773"/>
        </w:tabs>
        <w:ind w:left="773" w:hanging="360"/>
      </w:pPr>
      <w:rPr>
        <w:rFonts w:hint="eastAsia" w:ascii="宋体" w:hAnsi="宋体" w:eastAsia="宋体" w:cs="Times New Roman"/>
      </w:rPr>
    </w:lvl>
    <w:lvl w:ilvl="1" w:tentative="0">
      <w:start w:val="1"/>
      <w:numFmt w:val="bullet"/>
      <w:lvlText w:val=""/>
      <w:lvlJc w:val="left"/>
      <w:pPr>
        <w:tabs>
          <w:tab w:val="left" w:pos="1253"/>
        </w:tabs>
        <w:ind w:left="1253" w:hanging="420"/>
      </w:pPr>
      <w:rPr>
        <w:rFonts w:hint="default" w:ascii="Wingdings" w:hAnsi="Wingdings"/>
      </w:rPr>
    </w:lvl>
    <w:lvl w:ilvl="2" w:tentative="0">
      <w:start w:val="1"/>
      <w:numFmt w:val="bullet"/>
      <w:lvlText w:val=""/>
      <w:lvlJc w:val="left"/>
      <w:pPr>
        <w:tabs>
          <w:tab w:val="left" w:pos="1673"/>
        </w:tabs>
        <w:ind w:left="1673" w:hanging="420"/>
      </w:pPr>
      <w:rPr>
        <w:rFonts w:hint="default" w:ascii="Wingdings" w:hAnsi="Wingdings"/>
      </w:rPr>
    </w:lvl>
    <w:lvl w:ilvl="3" w:tentative="0">
      <w:start w:val="1"/>
      <w:numFmt w:val="bullet"/>
      <w:lvlText w:val=""/>
      <w:lvlJc w:val="left"/>
      <w:pPr>
        <w:tabs>
          <w:tab w:val="left" w:pos="2093"/>
        </w:tabs>
        <w:ind w:left="2093" w:hanging="420"/>
      </w:pPr>
      <w:rPr>
        <w:rFonts w:hint="default" w:ascii="Wingdings" w:hAnsi="Wingdings"/>
      </w:rPr>
    </w:lvl>
    <w:lvl w:ilvl="4" w:tentative="0">
      <w:start w:val="1"/>
      <w:numFmt w:val="bullet"/>
      <w:lvlText w:val=""/>
      <w:lvlJc w:val="left"/>
      <w:pPr>
        <w:tabs>
          <w:tab w:val="left" w:pos="2513"/>
        </w:tabs>
        <w:ind w:left="2513" w:hanging="420"/>
      </w:pPr>
      <w:rPr>
        <w:rFonts w:hint="default" w:ascii="Wingdings" w:hAnsi="Wingdings"/>
      </w:rPr>
    </w:lvl>
    <w:lvl w:ilvl="5" w:tentative="0">
      <w:start w:val="1"/>
      <w:numFmt w:val="bullet"/>
      <w:lvlText w:val=""/>
      <w:lvlJc w:val="left"/>
      <w:pPr>
        <w:tabs>
          <w:tab w:val="left" w:pos="2933"/>
        </w:tabs>
        <w:ind w:left="2933" w:hanging="420"/>
      </w:pPr>
      <w:rPr>
        <w:rFonts w:hint="default" w:ascii="Wingdings" w:hAnsi="Wingdings"/>
      </w:rPr>
    </w:lvl>
    <w:lvl w:ilvl="6" w:tentative="0">
      <w:start w:val="1"/>
      <w:numFmt w:val="bullet"/>
      <w:lvlText w:val=""/>
      <w:lvlJc w:val="left"/>
      <w:pPr>
        <w:tabs>
          <w:tab w:val="left" w:pos="3353"/>
        </w:tabs>
        <w:ind w:left="3353" w:hanging="420"/>
      </w:pPr>
      <w:rPr>
        <w:rFonts w:hint="default" w:ascii="Wingdings" w:hAnsi="Wingdings"/>
      </w:rPr>
    </w:lvl>
    <w:lvl w:ilvl="7" w:tentative="0">
      <w:start w:val="1"/>
      <w:numFmt w:val="bullet"/>
      <w:lvlText w:val=""/>
      <w:lvlJc w:val="left"/>
      <w:pPr>
        <w:tabs>
          <w:tab w:val="left" w:pos="3773"/>
        </w:tabs>
        <w:ind w:left="3773" w:hanging="420"/>
      </w:pPr>
      <w:rPr>
        <w:rFonts w:hint="default" w:ascii="Wingdings" w:hAnsi="Wingdings"/>
      </w:rPr>
    </w:lvl>
    <w:lvl w:ilvl="8" w:tentative="0">
      <w:start w:val="1"/>
      <w:numFmt w:val="bullet"/>
      <w:lvlText w:val=""/>
      <w:lvlJc w:val="left"/>
      <w:pPr>
        <w:tabs>
          <w:tab w:val="left" w:pos="4193"/>
        </w:tabs>
        <w:ind w:left="4193" w:hanging="420"/>
      </w:pPr>
      <w:rPr>
        <w:rFonts w:hint="default" w:ascii="Wingdings" w:hAnsi="Wingdings"/>
      </w:rPr>
    </w:lvl>
  </w:abstractNum>
  <w:abstractNum w:abstractNumId="1">
    <w:nsid w:val="59C373A2"/>
    <w:multiLevelType w:val="singleLevel"/>
    <w:tmpl w:val="59C373A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29"/>
    <w:rsid w:val="00003F18"/>
    <w:rsid w:val="000157CE"/>
    <w:rsid w:val="00022392"/>
    <w:rsid w:val="000900DB"/>
    <w:rsid w:val="00114B5C"/>
    <w:rsid w:val="001C698C"/>
    <w:rsid w:val="002567FC"/>
    <w:rsid w:val="002601D6"/>
    <w:rsid w:val="002E2160"/>
    <w:rsid w:val="00315A2A"/>
    <w:rsid w:val="003743E1"/>
    <w:rsid w:val="00387868"/>
    <w:rsid w:val="00482630"/>
    <w:rsid w:val="004A492C"/>
    <w:rsid w:val="004D4DA9"/>
    <w:rsid w:val="005364FA"/>
    <w:rsid w:val="005652D9"/>
    <w:rsid w:val="00591021"/>
    <w:rsid w:val="005C1133"/>
    <w:rsid w:val="005F3629"/>
    <w:rsid w:val="00720001"/>
    <w:rsid w:val="00771BBE"/>
    <w:rsid w:val="00787941"/>
    <w:rsid w:val="00840673"/>
    <w:rsid w:val="0089679F"/>
    <w:rsid w:val="008C149F"/>
    <w:rsid w:val="009524B7"/>
    <w:rsid w:val="009C53A5"/>
    <w:rsid w:val="00A2611F"/>
    <w:rsid w:val="00A95AB8"/>
    <w:rsid w:val="00A9767C"/>
    <w:rsid w:val="00AA00C5"/>
    <w:rsid w:val="00AA1E29"/>
    <w:rsid w:val="00AD06BC"/>
    <w:rsid w:val="00B21231"/>
    <w:rsid w:val="00B9127A"/>
    <w:rsid w:val="00C44E98"/>
    <w:rsid w:val="00C52A76"/>
    <w:rsid w:val="00C91B33"/>
    <w:rsid w:val="00CF4A59"/>
    <w:rsid w:val="00D0675D"/>
    <w:rsid w:val="00D51DE8"/>
    <w:rsid w:val="00D71826"/>
    <w:rsid w:val="00D85E0C"/>
    <w:rsid w:val="00DC0E52"/>
    <w:rsid w:val="00E7456A"/>
    <w:rsid w:val="00E84123"/>
    <w:rsid w:val="00EA1BEA"/>
    <w:rsid w:val="00EC628A"/>
    <w:rsid w:val="00ED36B5"/>
    <w:rsid w:val="00F3274D"/>
    <w:rsid w:val="00F94800"/>
    <w:rsid w:val="00F966E1"/>
    <w:rsid w:val="00FC16C5"/>
    <w:rsid w:val="00FC2F9C"/>
    <w:rsid w:val="073B2C84"/>
    <w:rsid w:val="08666F8C"/>
    <w:rsid w:val="1A3A70B2"/>
    <w:rsid w:val="1E4A7753"/>
    <w:rsid w:val="222E2787"/>
    <w:rsid w:val="235F113B"/>
    <w:rsid w:val="33085D55"/>
    <w:rsid w:val="3928677C"/>
    <w:rsid w:val="3D851B0D"/>
    <w:rsid w:val="40C30D42"/>
    <w:rsid w:val="461D41C8"/>
    <w:rsid w:val="48DD4D64"/>
    <w:rsid w:val="4C1D550A"/>
    <w:rsid w:val="5BBA517C"/>
    <w:rsid w:val="5FA72D2E"/>
    <w:rsid w:val="6F352B98"/>
    <w:rsid w:val="70D766EE"/>
    <w:rsid w:val="7BD141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5">
    <w:name w:val="FollowedHyperlink"/>
    <w:basedOn w:val="4"/>
    <w:qFormat/>
    <w:uiPriority w:val="0"/>
    <w:rPr>
      <w:color w:val="262626"/>
      <w:sz w:val="18"/>
      <w:szCs w:val="18"/>
      <w:u w:val="none"/>
    </w:rPr>
  </w:style>
  <w:style w:type="character" w:styleId="6">
    <w:name w:val="Hyperlink"/>
    <w:qFormat/>
    <w:uiPriority w:val="0"/>
    <w:rPr>
      <w:color w:val="0000FF"/>
      <w:u w:val="single"/>
    </w:rPr>
  </w:style>
  <w:style w:type="character" w:customStyle="1" w:styleId="8">
    <w:name w:val="页脚 Char"/>
    <w:link w:val="2"/>
    <w:qFormat/>
    <w:uiPriority w:val="0"/>
    <w:rPr>
      <w:kern w:val="2"/>
      <w:sz w:val="18"/>
      <w:szCs w:val="18"/>
    </w:rPr>
  </w:style>
  <w:style w:type="character" w:customStyle="1" w:styleId="9">
    <w:name w:val="页眉 Char"/>
    <w:link w:val="3"/>
    <w:qFormat/>
    <w:uiPriority w:val="0"/>
    <w:rPr>
      <w:kern w:val="2"/>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item-name"/>
    <w:basedOn w:val="4"/>
    <w:qFormat/>
    <w:uiPriority w:val="0"/>
  </w:style>
  <w:style w:type="character" w:customStyle="1" w:styleId="12">
    <w:name w:val="item-name1"/>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344</Words>
  <Characters>1965</Characters>
  <Lines>16</Lines>
  <Paragraphs>4</Paragraphs>
  <TotalTime>13</TotalTime>
  <ScaleCrop>false</ScaleCrop>
  <LinksUpToDate>false</LinksUpToDate>
  <CharactersWithSpaces>2305</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2017-09-27T09:13:00Z</dcterms:created>
  <dc:creator>王缨</dc:creator>
  <cp:lastModifiedBy>李大米</cp:lastModifiedBy>
  <cp:lastPrinted>2012-09-13T01:44:00Z</cp:lastPrinted>
  <dcterms:modified xsi:type="dcterms:W3CDTF">2018-11-01T07:21:37Z</dcterms:modified>
  <dc:title>人文学院研究生答辩须知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